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D7734" w14:textId="6E82E63F" w:rsidR="00851037" w:rsidRPr="00D045F9" w:rsidRDefault="00EC6613" w:rsidP="00EC6613">
      <w:pPr>
        <w:rPr>
          <w:rFonts w:ascii="Arial" w:hAnsi="Arial" w:cs="Arial"/>
          <w:b/>
          <w:sz w:val="28"/>
          <w:szCs w:val="28"/>
        </w:rPr>
      </w:pPr>
      <w:r w:rsidRPr="00D045F9">
        <w:rPr>
          <w:rFonts w:ascii="Arial" w:hAnsi="Arial" w:cs="Arial"/>
          <w:b/>
          <w:sz w:val="28"/>
          <w:szCs w:val="28"/>
        </w:rPr>
        <w:t xml:space="preserve">ARTICULO </w:t>
      </w:r>
      <w:r w:rsidR="00B464AD">
        <w:rPr>
          <w:rFonts w:ascii="Arial" w:hAnsi="Arial" w:cs="Arial"/>
          <w:b/>
          <w:sz w:val="28"/>
          <w:szCs w:val="28"/>
        </w:rPr>
        <w:t>ORIGINAL DE INVESTIGACION</w:t>
      </w:r>
    </w:p>
    <w:p w14:paraId="3786DCD5" w14:textId="77777777" w:rsidR="00EC6613" w:rsidRPr="00D045F9" w:rsidRDefault="00EC6613" w:rsidP="00B01A6F">
      <w:pPr>
        <w:jc w:val="center"/>
        <w:rPr>
          <w:rFonts w:ascii="Arial" w:hAnsi="Arial" w:cs="Arial"/>
          <w:b/>
        </w:rPr>
      </w:pPr>
    </w:p>
    <w:p w14:paraId="66AE7325" w14:textId="72F97630" w:rsidR="00851037" w:rsidRPr="00B52FC2" w:rsidRDefault="00851037" w:rsidP="00851037">
      <w:pPr>
        <w:jc w:val="both"/>
        <w:rPr>
          <w:rFonts w:ascii="Arial" w:hAnsi="Arial" w:cs="Arial"/>
          <w:color w:val="000000" w:themeColor="text1"/>
          <w:lang w:val="es-ES"/>
        </w:rPr>
      </w:pPr>
      <w:bookmarkStart w:id="0" w:name="_GoBack"/>
      <w:r>
        <w:rPr>
          <w:rFonts w:ascii="Arial" w:hAnsi="Arial" w:cs="Arial"/>
          <w:b/>
          <w:color w:val="000000" w:themeColor="text1"/>
          <w:lang w:val="es-ES"/>
        </w:rPr>
        <w:t>R</w:t>
      </w:r>
      <w:r w:rsidRPr="00B52FC2">
        <w:rPr>
          <w:rFonts w:ascii="Arial" w:hAnsi="Arial" w:cs="Arial"/>
          <w:b/>
          <w:color w:val="000000" w:themeColor="text1"/>
          <w:lang w:val="es-ES"/>
        </w:rPr>
        <w:t xml:space="preserve">ESULTADOS EN PRUEBAS AUDIOLÓGICAS PRE Y POST QUIRÚRGICAS EN PACIENTES MAYORES DE 65 AÑOS CON DIAGNÓSTICO DE HIPOACUSIA NEUROSENSORIAL UNILATERAL MANEJADOS CON IMPLANTE COCLEAR EN EL HOSPITAL UNIVERSITARIO CLÍNICA SAN RAFAEL DURANTE EL PERÍODO 2006 – </w:t>
      </w:r>
      <w:r>
        <w:rPr>
          <w:rFonts w:ascii="Arial" w:hAnsi="Arial" w:cs="Arial"/>
          <w:b/>
          <w:color w:val="000000" w:themeColor="text1"/>
          <w:lang w:val="es-ES"/>
        </w:rPr>
        <w:t>2016.</w:t>
      </w:r>
    </w:p>
    <w:bookmarkEnd w:id="0"/>
    <w:p w14:paraId="6E6C716D" w14:textId="77777777" w:rsidR="00EC6613" w:rsidRPr="00D045F9" w:rsidRDefault="00EC6613" w:rsidP="00851037">
      <w:pPr>
        <w:jc w:val="both"/>
        <w:rPr>
          <w:rFonts w:ascii="Arial" w:hAnsi="Arial" w:cs="Arial"/>
          <w:b/>
        </w:rPr>
      </w:pPr>
    </w:p>
    <w:p w14:paraId="51484AF9" w14:textId="4065B211" w:rsidR="00AD66D1" w:rsidRPr="00D045F9" w:rsidRDefault="003D6B3A" w:rsidP="00AD66D1">
      <w:pPr>
        <w:widowControl w:val="0"/>
        <w:autoSpaceDE w:val="0"/>
        <w:autoSpaceDN w:val="0"/>
        <w:adjustRightInd w:val="0"/>
        <w:spacing w:after="240" w:line="320" w:lineRule="atLeast"/>
        <w:rPr>
          <w:rFonts w:ascii="Arial" w:hAnsi="Arial" w:cs="Arial"/>
          <w:lang w:val="es-ES"/>
        </w:rPr>
      </w:pPr>
      <w:r w:rsidRPr="00D045F9">
        <w:rPr>
          <w:rFonts w:ascii="Arial" w:hAnsi="Arial" w:cs="Arial"/>
          <w:sz w:val="26"/>
          <w:szCs w:val="26"/>
          <w:lang w:val="es-ES"/>
        </w:rPr>
        <w:t>Jorg</w:t>
      </w:r>
      <w:r w:rsidR="00851037">
        <w:rPr>
          <w:rFonts w:ascii="Arial" w:hAnsi="Arial" w:cs="Arial"/>
          <w:sz w:val="26"/>
          <w:szCs w:val="26"/>
          <w:lang w:val="es-ES"/>
        </w:rPr>
        <w:t xml:space="preserve">e Alberto Prieto </w:t>
      </w:r>
      <w:r w:rsidR="00AD66D1" w:rsidRPr="00D045F9">
        <w:rPr>
          <w:rStyle w:val="Refdenotaalpie"/>
          <w:rFonts w:ascii="Arial" w:hAnsi="Arial" w:cs="Arial"/>
          <w:sz w:val="26"/>
          <w:szCs w:val="26"/>
          <w:lang w:val="es-ES"/>
        </w:rPr>
        <w:footnoteReference w:id="1"/>
      </w:r>
      <w:r w:rsidR="00AD66D1" w:rsidRPr="00D045F9">
        <w:rPr>
          <w:rFonts w:ascii="Arial" w:hAnsi="Arial" w:cs="Arial"/>
          <w:sz w:val="26"/>
          <w:szCs w:val="26"/>
          <w:lang w:val="es-ES"/>
        </w:rPr>
        <w:t xml:space="preserve"> , Christian Andrés Ruiz García </w:t>
      </w:r>
      <w:r w:rsidR="00320BB6" w:rsidRPr="00D045F9">
        <w:rPr>
          <w:rStyle w:val="Refdenotaalpie"/>
          <w:rFonts w:ascii="Arial" w:hAnsi="Arial" w:cs="Arial"/>
          <w:sz w:val="26"/>
          <w:szCs w:val="26"/>
          <w:lang w:val="es-ES"/>
        </w:rPr>
        <w:footnoteReference w:id="2"/>
      </w:r>
      <w:r w:rsidR="00451246">
        <w:rPr>
          <w:rFonts w:ascii="Arial" w:hAnsi="Arial" w:cs="Arial"/>
          <w:sz w:val="26"/>
          <w:szCs w:val="26"/>
          <w:lang w:val="es-ES"/>
        </w:rPr>
        <w:t xml:space="preserve"> , Andrés Jimenez</w:t>
      </w:r>
      <w:r w:rsidR="00451246" w:rsidRPr="00451246">
        <w:rPr>
          <w:rFonts w:ascii="Arial" w:hAnsi="Arial" w:cs="Arial"/>
          <w:sz w:val="26"/>
          <w:szCs w:val="26"/>
          <w:vertAlign w:val="superscript"/>
          <w:lang w:val="es-ES"/>
        </w:rPr>
        <w:t>3</w:t>
      </w:r>
    </w:p>
    <w:p w14:paraId="5D710D58" w14:textId="77777777" w:rsidR="00AD66D1" w:rsidRDefault="00AD66D1" w:rsidP="00AD66D1">
      <w:pPr>
        <w:widowControl w:val="0"/>
        <w:autoSpaceDE w:val="0"/>
        <w:autoSpaceDN w:val="0"/>
        <w:adjustRightInd w:val="0"/>
        <w:spacing w:after="240" w:line="300" w:lineRule="atLeast"/>
        <w:rPr>
          <w:rFonts w:ascii="Arial" w:hAnsi="Arial" w:cs="Arial"/>
          <w:b/>
          <w:bCs/>
          <w:sz w:val="26"/>
          <w:szCs w:val="26"/>
          <w:lang w:val="es-ES"/>
        </w:rPr>
      </w:pPr>
      <w:r w:rsidRPr="00D045F9">
        <w:rPr>
          <w:rFonts w:ascii="Arial" w:hAnsi="Arial" w:cs="Arial"/>
          <w:b/>
          <w:bCs/>
          <w:sz w:val="26"/>
          <w:szCs w:val="26"/>
          <w:lang w:val="es-ES"/>
        </w:rPr>
        <w:t xml:space="preserve">Resumen </w:t>
      </w:r>
    </w:p>
    <w:p w14:paraId="037A70FD" w14:textId="1D087866" w:rsidR="007E5BF2" w:rsidRPr="00524CAB" w:rsidRDefault="008E30F3" w:rsidP="007E5BF2">
      <w:pPr>
        <w:jc w:val="both"/>
        <w:rPr>
          <w:rFonts w:ascii="Arial" w:hAnsi="Arial" w:cs="Arial"/>
          <w:sz w:val="22"/>
          <w:szCs w:val="22"/>
          <w:lang w:val="es-ES"/>
        </w:rPr>
      </w:pPr>
      <w:r w:rsidRPr="00524CAB">
        <w:rPr>
          <w:rFonts w:ascii="Arial" w:hAnsi="Arial" w:cs="Arial"/>
          <w:i/>
          <w:sz w:val="22"/>
          <w:szCs w:val="22"/>
          <w:u w:val="single"/>
          <w:lang w:val="es-ES"/>
        </w:rPr>
        <w:t>Introducción</w:t>
      </w:r>
      <w:r w:rsidRPr="00524CAB">
        <w:rPr>
          <w:rFonts w:ascii="Arial" w:hAnsi="Arial" w:cs="Arial"/>
          <w:i/>
          <w:sz w:val="22"/>
          <w:szCs w:val="22"/>
          <w:lang w:val="es-ES"/>
        </w:rPr>
        <w:t>:</w:t>
      </w:r>
      <w:r w:rsidRPr="00524CAB">
        <w:rPr>
          <w:rFonts w:ascii="Arial" w:hAnsi="Arial" w:cs="Arial"/>
          <w:sz w:val="22"/>
          <w:szCs w:val="22"/>
          <w:lang w:val="es-ES"/>
        </w:rPr>
        <w:t xml:space="preserve"> </w:t>
      </w:r>
      <w:r w:rsidR="009F7ACA" w:rsidRPr="00524CAB">
        <w:rPr>
          <w:rFonts w:ascii="Arial" w:hAnsi="Arial" w:cs="Arial"/>
          <w:sz w:val="22"/>
          <w:szCs w:val="22"/>
          <w:lang w:val="es-ES"/>
        </w:rPr>
        <w:t>La hipoacusia es una alteración común en la edad adulta e incapacitante</w:t>
      </w:r>
      <w:r w:rsidR="009F7ACA" w:rsidRPr="00524CAB">
        <w:rPr>
          <w:rFonts w:ascii="Arial" w:hAnsi="Arial" w:cs="Arial"/>
          <w:bCs/>
          <w:sz w:val="22"/>
          <w:szCs w:val="22"/>
          <w:lang w:val="es-ES"/>
        </w:rPr>
        <w:t xml:space="preserve"> e </w:t>
      </w:r>
      <w:r w:rsidR="009F7ACA" w:rsidRPr="00524CAB">
        <w:rPr>
          <w:rFonts w:ascii="Arial" w:hAnsi="Arial" w:cs="Arial"/>
          <w:sz w:val="22"/>
          <w:szCs w:val="22"/>
          <w:lang w:val="es-ES"/>
        </w:rPr>
        <w:t xml:space="preserve">involucra problemas en la conversión de vibraciones mecánicas en potencial eléctrico en la cóclea y/o la transmisión en el nervio </w:t>
      </w:r>
      <w:proofErr w:type="spellStart"/>
      <w:r w:rsidR="009F7ACA" w:rsidRPr="00524CAB">
        <w:rPr>
          <w:rFonts w:ascii="Arial" w:hAnsi="Arial" w:cs="Arial"/>
          <w:sz w:val="22"/>
          <w:szCs w:val="22"/>
          <w:lang w:val="es-ES"/>
        </w:rPr>
        <w:t>vestibulococlear</w:t>
      </w:r>
      <w:proofErr w:type="spellEnd"/>
      <w:r w:rsidR="009F7ACA" w:rsidRPr="00524CAB">
        <w:rPr>
          <w:rFonts w:ascii="Arial" w:hAnsi="Arial" w:cs="Arial"/>
          <w:sz w:val="22"/>
          <w:szCs w:val="22"/>
          <w:lang w:val="es-ES"/>
        </w:rPr>
        <w:t xml:space="preserve"> al cerebro. En aquellos pacientes con hipoacusia </w:t>
      </w:r>
      <w:proofErr w:type="spellStart"/>
      <w:r w:rsidR="009F7ACA" w:rsidRPr="00524CAB">
        <w:rPr>
          <w:rFonts w:ascii="Arial" w:hAnsi="Arial" w:cs="Arial"/>
          <w:sz w:val="22"/>
          <w:szCs w:val="22"/>
          <w:lang w:val="es-ES"/>
        </w:rPr>
        <w:t>neurosensorial</w:t>
      </w:r>
      <w:proofErr w:type="spellEnd"/>
      <w:r w:rsidR="009F7ACA" w:rsidRPr="00524CAB">
        <w:rPr>
          <w:rFonts w:ascii="Arial" w:hAnsi="Arial" w:cs="Arial"/>
          <w:sz w:val="22"/>
          <w:szCs w:val="22"/>
          <w:lang w:val="es-ES"/>
        </w:rPr>
        <w:t xml:space="preserve"> severas/profundas se encuentra indicado el implante coclear. Específicamente en pacientes mayores de 65, tiene un menor impacto en la calidad auditiva con mejoría en la calidad de </w:t>
      </w:r>
      <w:proofErr w:type="gramStart"/>
      <w:r w:rsidR="009F7ACA" w:rsidRPr="00524CAB">
        <w:rPr>
          <w:rFonts w:ascii="Arial" w:hAnsi="Arial" w:cs="Arial"/>
          <w:sz w:val="22"/>
          <w:szCs w:val="22"/>
          <w:lang w:val="es-ES"/>
        </w:rPr>
        <w:t>vida equiparables</w:t>
      </w:r>
      <w:proofErr w:type="gramEnd"/>
      <w:r w:rsidR="009F7ACA" w:rsidRPr="00524CAB">
        <w:rPr>
          <w:rFonts w:ascii="Arial" w:hAnsi="Arial" w:cs="Arial"/>
          <w:sz w:val="22"/>
          <w:szCs w:val="22"/>
          <w:lang w:val="es-ES"/>
        </w:rPr>
        <w:t xml:space="preserve"> a la población joven. En general, es un procedimiento bien tolerado y las tasas de riesgos menores y mayores derivados de la intervención, son comparables con la población joven. </w:t>
      </w:r>
      <w:r w:rsidR="003B538C" w:rsidRPr="00524CAB">
        <w:rPr>
          <w:rFonts w:ascii="Arial" w:hAnsi="Arial" w:cs="Arial"/>
          <w:bCs/>
          <w:i/>
          <w:sz w:val="22"/>
          <w:szCs w:val="22"/>
          <w:u w:val="single"/>
          <w:lang w:val="es-ES"/>
        </w:rPr>
        <w:t xml:space="preserve">Objetivo: </w:t>
      </w:r>
      <w:r w:rsidR="009F7ACA" w:rsidRPr="00524CAB">
        <w:rPr>
          <w:rFonts w:ascii="Arial" w:hAnsi="Arial" w:cs="Arial"/>
          <w:sz w:val="22"/>
          <w:szCs w:val="22"/>
          <w:lang w:val="es-ES"/>
        </w:rPr>
        <w:t xml:space="preserve">Determinar </w:t>
      </w:r>
      <w:r w:rsidR="009F7ACA" w:rsidRPr="00524CAB">
        <w:rPr>
          <w:rFonts w:ascii="Arial" w:hAnsi="Arial" w:cs="Arial"/>
          <w:sz w:val="22"/>
          <w:szCs w:val="22"/>
        </w:rPr>
        <w:t xml:space="preserve">las </w:t>
      </w:r>
      <w:r w:rsidR="009F7ACA" w:rsidRPr="00524CAB">
        <w:rPr>
          <w:rFonts w:ascii="Arial" w:eastAsia="Times New Roman" w:hAnsi="Arial" w:cs="Arial"/>
          <w:color w:val="000000" w:themeColor="text1"/>
          <w:sz w:val="22"/>
          <w:szCs w:val="22"/>
          <w:lang w:val="es-ES"/>
        </w:rPr>
        <w:t xml:space="preserve">diferencias en los resultados de las pruebas de audiometría y </w:t>
      </w:r>
      <w:proofErr w:type="spellStart"/>
      <w:r w:rsidR="009F7ACA" w:rsidRPr="00524CAB">
        <w:rPr>
          <w:rFonts w:ascii="Arial" w:eastAsia="Times New Roman" w:hAnsi="Arial" w:cs="Arial"/>
          <w:color w:val="000000" w:themeColor="text1"/>
          <w:sz w:val="22"/>
          <w:szCs w:val="22"/>
          <w:lang w:val="es-ES"/>
        </w:rPr>
        <w:t>logoaudiometría</w:t>
      </w:r>
      <w:proofErr w:type="spellEnd"/>
      <w:r w:rsidR="009F7ACA" w:rsidRPr="00524CAB">
        <w:rPr>
          <w:rFonts w:ascii="Arial" w:eastAsia="Times New Roman" w:hAnsi="Arial" w:cs="Arial"/>
          <w:color w:val="000000" w:themeColor="text1"/>
          <w:sz w:val="22"/>
          <w:szCs w:val="22"/>
          <w:lang w:val="es-ES"/>
        </w:rPr>
        <w:t xml:space="preserve"> antes y a los 6 y 12 meses posteriores al implante coclear en pacientes mayores de 65 años en el Hospital Universitario Clínica San Rafael en el periodo 2006 – 2016. </w:t>
      </w:r>
      <w:r w:rsidR="009F7ACA" w:rsidRPr="00524CAB">
        <w:rPr>
          <w:rFonts w:ascii="Arial" w:hAnsi="Arial" w:cs="Arial"/>
          <w:bCs/>
          <w:sz w:val="22"/>
          <w:szCs w:val="22"/>
          <w:lang w:val="es-ES"/>
        </w:rPr>
        <w:t xml:space="preserve"> </w:t>
      </w:r>
      <w:r w:rsidR="003B538C" w:rsidRPr="00524CAB">
        <w:rPr>
          <w:rFonts w:ascii="Arial" w:hAnsi="Arial" w:cs="Arial"/>
          <w:bCs/>
          <w:i/>
          <w:sz w:val="22"/>
          <w:szCs w:val="22"/>
          <w:u w:val="single"/>
          <w:lang w:val="es-ES"/>
        </w:rPr>
        <w:t>Diseño</w:t>
      </w:r>
      <w:proofErr w:type="gramStart"/>
      <w:r w:rsidR="009F7ACA" w:rsidRPr="00524CAB">
        <w:rPr>
          <w:rFonts w:ascii="Arial" w:hAnsi="Arial" w:cs="Arial"/>
          <w:bCs/>
          <w:i/>
          <w:sz w:val="22"/>
          <w:szCs w:val="22"/>
          <w:lang w:val="es-ES"/>
        </w:rPr>
        <w:t xml:space="preserve">: </w:t>
      </w:r>
      <w:r w:rsidR="009F7ACA" w:rsidRPr="00524CAB">
        <w:rPr>
          <w:rFonts w:ascii="Arial" w:hAnsi="Arial" w:cs="Arial"/>
          <w:sz w:val="22"/>
          <w:szCs w:val="22"/>
        </w:rPr>
        <w:t xml:space="preserve"> estudio</w:t>
      </w:r>
      <w:proofErr w:type="gramEnd"/>
      <w:r w:rsidR="009F7ACA" w:rsidRPr="00524CAB">
        <w:rPr>
          <w:rFonts w:ascii="Arial" w:hAnsi="Arial" w:cs="Arial"/>
          <w:sz w:val="22"/>
          <w:szCs w:val="22"/>
        </w:rPr>
        <w:t xml:space="preserve"> </w:t>
      </w:r>
      <w:r w:rsidR="009F7ACA" w:rsidRPr="00524CAB">
        <w:rPr>
          <w:rFonts w:ascii="Arial" w:hAnsi="Arial" w:cs="Arial"/>
          <w:sz w:val="22"/>
          <w:szCs w:val="22"/>
          <w:lang w:val="es-ES"/>
        </w:rPr>
        <w:t xml:space="preserve">descriptivo </w:t>
      </w:r>
      <w:r w:rsidR="009F7ACA" w:rsidRPr="00524CAB">
        <w:rPr>
          <w:rFonts w:ascii="Arial" w:hAnsi="Arial" w:cs="Arial"/>
          <w:color w:val="000000" w:themeColor="text1"/>
          <w:sz w:val="22"/>
          <w:szCs w:val="22"/>
          <w:lang w:val="es-ES"/>
        </w:rPr>
        <w:t>retrospectivo</w:t>
      </w:r>
      <w:r w:rsidR="009F7ACA" w:rsidRPr="00524CAB">
        <w:rPr>
          <w:rFonts w:ascii="Arial" w:hAnsi="Arial" w:cs="Arial"/>
          <w:sz w:val="22"/>
          <w:szCs w:val="22"/>
          <w:lang w:val="es-ES"/>
        </w:rPr>
        <w:t xml:space="preserve"> de corte transversal</w:t>
      </w:r>
      <w:r w:rsidR="003B538C" w:rsidRPr="00524CAB">
        <w:rPr>
          <w:rFonts w:ascii="Arial" w:hAnsi="Arial" w:cs="Arial"/>
          <w:bCs/>
          <w:sz w:val="22"/>
          <w:szCs w:val="22"/>
          <w:lang w:val="es-ES"/>
        </w:rPr>
        <w:t xml:space="preserve">. </w:t>
      </w:r>
      <w:r w:rsidR="003B538C" w:rsidRPr="00524CAB">
        <w:rPr>
          <w:rFonts w:ascii="Arial" w:hAnsi="Arial" w:cs="Arial"/>
          <w:bCs/>
          <w:i/>
          <w:sz w:val="22"/>
          <w:szCs w:val="22"/>
          <w:u w:val="single"/>
          <w:lang w:val="es-ES"/>
        </w:rPr>
        <w:t>Materiales y métodos:</w:t>
      </w:r>
      <w:r w:rsidR="003B538C" w:rsidRPr="00524CAB">
        <w:rPr>
          <w:rFonts w:ascii="Arial" w:hAnsi="Arial" w:cs="Arial"/>
          <w:bCs/>
          <w:sz w:val="22"/>
          <w:szCs w:val="22"/>
          <w:lang w:val="es-ES"/>
        </w:rPr>
        <w:t xml:space="preserve"> </w:t>
      </w:r>
      <w:r w:rsidR="007E5BF2" w:rsidRPr="00524CAB">
        <w:rPr>
          <w:rFonts w:ascii="Arial" w:eastAsia="Arial" w:hAnsi="Arial" w:cs="Arial"/>
          <w:bCs/>
          <w:sz w:val="22"/>
          <w:szCs w:val="22"/>
          <w:lang w:val="es-ES"/>
        </w:rPr>
        <w:t>Se analizaron datos de la historia clínica electrónica a partir de</w:t>
      </w:r>
      <w:r w:rsidR="009A746F">
        <w:rPr>
          <w:rFonts w:ascii="Arial" w:eastAsia="Arial" w:hAnsi="Arial" w:cs="Arial"/>
          <w:bCs/>
          <w:sz w:val="22"/>
          <w:szCs w:val="22"/>
          <w:lang w:val="es-ES"/>
        </w:rPr>
        <w:t xml:space="preserve">l año 2006 hasta el año 2016 en </w:t>
      </w:r>
      <w:r w:rsidR="007E5BF2" w:rsidRPr="00524CAB">
        <w:rPr>
          <w:rFonts w:ascii="Arial" w:eastAsia="Arial" w:hAnsi="Arial" w:cs="Arial"/>
          <w:bCs/>
          <w:sz w:val="22"/>
          <w:szCs w:val="22"/>
          <w:lang w:val="es-ES"/>
        </w:rPr>
        <w:t xml:space="preserve">33 pacientes adultos (&gt;65 años) con diagnóstico de hipoacusia </w:t>
      </w:r>
      <w:proofErr w:type="spellStart"/>
      <w:r w:rsidR="007E5BF2" w:rsidRPr="00524CAB">
        <w:rPr>
          <w:rFonts w:ascii="Arial" w:eastAsia="Arial" w:hAnsi="Arial" w:cs="Arial"/>
          <w:bCs/>
          <w:sz w:val="22"/>
          <w:szCs w:val="22"/>
          <w:lang w:val="es-ES"/>
        </w:rPr>
        <w:t>neurosensorial</w:t>
      </w:r>
      <w:proofErr w:type="spellEnd"/>
      <w:r w:rsidR="007E5BF2" w:rsidRPr="00524CAB">
        <w:rPr>
          <w:rFonts w:ascii="Arial" w:eastAsia="Arial" w:hAnsi="Arial" w:cs="Arial"/>
          <w:bCs/>
          <w:sz w:val="22"/>
          <w:szCs w:val="22"/>
          <w:lang w:val="es-ES"/>
        </w:rPr>
        <w:t xml:space="preserve"> severa / profunda unilateral y que fueron llevados a tratamiento quirúrgico con implante coclear;  se analizaron variables como edad, lateralidad, etiología, pruebas audiológicas </w:t>
      </w:r>
      <w:proofErr w:type="gramStart"/>
      <w:r w:rsidR="007E5BF2" w:rsidRPr="00524CAB">
        <w:rPr>
          <w:rFonts w:ascii="Arial" w:eastAsia="Arial" w:hAnsi="Arial" w:cs="Arial"/>
          <w:bCs/>
          <w:sz w:val="22"/>
          <w:szCs w:val="22"/>
          <w:lang w:val="es-ES"/>
        </w:rPr>
        <w:t>( audiometría</w:t>
      </w:r>
      <w:proofErr w:type="gramEnd"/>
      <w:r w:rsidR="007E5BF2" w:rsidRPr="00524CAB">
        <w:rPr>
          <w:rFonts w:ascii="Arial" w:eastAsia="Arial" w:hAnsi="Arial" w:cs="Arial"/>
          <w:bCs/>
          <w:sz w:val="22"/>
          <w:szCs w:val="22"/>
          <w:lang w:val="es-ES"/>
        </w:rPr>
        <w:t xml:space="preserve"> y </w:t>
      </w:r>
      <w:proofErr w:type="spellStart"/>
      <w:r w:rsidR="007E5BF2" w:rsidRPr="00524CAB">
        <w:rPr>
          <w:rFonts w:ascii="Arial" w:eastAsia="Arial" w:hAnsi="Arial" w:cs="Arial"/>
          <w:bCs/>
          <w:sz w:val="22"/>
          <w:szCs w:val="22"/>
          <w:lang w:val="es-ES"/>
        </w:rPr>
        <w:t>logoaudiometria</w:t>
      </w:r>
      <w:proofErr w:type="spellEnd"/>
      <w:r w:rsidR="007E5BF2" w:rsidRPr="00524CAB">
        <w:rPr>
          <w:rFonts w:ascii="Arial" w:eastAsia="Arial" w:hAnsi="Arial" w:cs="Arial"/>
          <w:bCs/>
          <w:sz w:val="22"/>
          <w:szCs w:val="22"/>
          <w:lang w:val="es-ES"/>
        </w:rPr>
        <w:t xml:space="preserve">)  pre y post quirúrgicas (6 y 12 meses). </w:t>
      </w:r>
      <w:r w:rsidR="003B538C" w:rsidRPr="00524CAB">
        <w:rPr>
          <w:rFonts w:ascii="Arial" w:hAnsi="Arial" w:cs="Arial"/>
          <w:bCs/>
          <w:i/>
          <w:sz w:val="22"/>
          <w:szCs w:val="22"/>
          <w:u w:val="single"/>
          <w:lang w:val="es-ES"/>
        </w:rPr>
        <w:t>Resultados:</w:t>
      </w:r>
      <w:r w:rsidR="007E5BF2" w:rsidRPr="00524CAB">
        <w:rPr>
          <w:rFonts w:ascii="Arial" w:hAnsi="Arial" w:cs="Arial"/>
          <w:bCs/>
          <w:i/>
          <w:sz w:val="22"/>
          <w:szCs w:val="22"/>
          <w:u w:val="single"/>
          <w:lang w:val="es-ES"/>
        </w:rPr>
        <w:t xml:space="preserve"> </w:t>
      </w:r>
      <w:r w:rsidR="007E5BF2" w:rsidRPr="00524CAB">
        <w:rPr>
          <w:rFonts w:ascii="Arial" w:hAnsi="Arial" w:cs="Arial"/>
          <w:sz w:val="22"/>
          <w:szCs w:val="22"/>
        </w:rPr>
        <w:t xml:space="preserve">Se encontraron un total de 33 pacientes, de los cuales el 60.6% eran del género masculino y el 39.4% del género </w:t>
      </w:r>
      <w:proofErr w:type="gramStart"/>
      <w:r w:rsidR="007E5BF2" w:rsidRPr="00524CAB">
        <w:rPr>
          <w:rFonts w:ascii="Arial" w:hAnsi="Arial" w:cs="Arial"/>
          <w:sz w:val="22"/>
          <w:szCs w:val="22"/>
        </w:rPr>
        <w:t>femenino</w:t>
      </w:r>
      <w:proofErr w:type="gramEnd"/>
      <w:r w:rsidR="007E5BF2" w:rsidRPr="00524CAB">
        <w:rPr>
          <w:rFonts w:ascii="Arial" w:hAnsi="Arial" w:cs="Arial"/>
          <w:sz w:val="22"/>
          <w:szCs w:val="22"/>
        </w:rPr>
        <w:t xml:space="preserve">. La mediana de la edad fue de 68 años con un RIQ de 5 años. El dispositivo más utilizado fue el </w:t>
      </w:r>
      <w:proofErr w:type="spellStart"/>
      <w:r w:rsidR="007E5BF2" w:rsidRPr="00524CAB">
        <w:rPr>
          <w:rFonts w:ascii="Arial" w:hAnsi="Arial" w:cs="Arial"/>
          <w:sz w:val="22"/>
          <w:szCs w:val="22"/>
        </w:rPr>
        <w:t>Cochlear</w:t>
      </w:r>
      <w:proofErr w:type="spellEnd"/>
      <w:r w:rsidR="007E5BF2" w:rsidRPr="00524CAB">
        <w:rPr>
          <w:rFonts w:ascii="Arial" w:hAnsi="Arial" w:cs="Arial"/>
          <w:sz w:val="22"/>
          <w:szCs w:val="22"/>
        </w:rPr>
        <w:t xml:space="preserve"> </w:t>
      </w:r>
      <w:proofErr w:type="spellStart"/>
      <w:r w:rsidR="007E5BF2" w:rsidRPr="00524CAB">
        <w:rPr>
          <w:rFonts w:ascii="Arial" w:hAnsi="Arial" w:cs="Arial"/>
          <w:sz w:val="22"/>
          <w:szCs w:val="22"/>
        </w:rPr>
        <w:t>Freedom</w:t>
      </w:r>
      <w:proofErr w:type="spellEnd"/>
      <w:r w:rsidR="007E5BF2" w:rsidRPr="00524CAB">
        <w:rPr>
          <w:rFonts w:ascii="Arial" w:hAnsi="Arial" w:cs="Arial"/>
          <w:sz w:val="22"/>
          <w:szCs w:val="22"/>
        </w:rPr>
        <w:t xml:space="preserve"> en un 24.4% y un 60.6% de los pacientes no tenían una etiología conocida. </w:t>
      </w:r>
      <w:r w:rsidR="007E5BF2" w:rsidRPr="00524CAB">
        <w:rPr>
          <w:rFonts w:ascii="Arial" w:hAnsi="Arial" w:cs="Arial"/>
          <w:sz w:val="22"/>
          <w:szCs w:val="22"/>
          <w:lang w:val="es-ES"/>
        </w:rPr>
        <w:t>La</w:t>
      </w:r>
      <w:r w:rsidR="009A746F">
        <w:rPr>
          <w:rFonts w:ascii="Arial" w:hAnsi="Arial" w:cs="Arial"/>
          <w:sz w:val="22"/>
          <w:szCs w:val="22"/>
          <w:lang w:val="es-ES"/>
        </w:rPr>
        <w:t xml:space="preserve"> mediana para el promedio de ton</w:t>
      </w:r>
      <w:r w:rsidR="007E5BF2" w:rsidRPr="00524CAB">
        <w:rPr>
          <w:rFonts w:ascii="Arial" w:hAnsi="Arial" w:cs="Arial"/>
          <w:sz w:val="22"/>
          <w:szCs w:val="22"/>
          <w:lang w:val="es-ES"/>
        </w:rPr>
        <w:t>os puros del habla pre-quirúrgicos fue de 90 con un RIQ de 13, mientras que a los 6 meses fue de 31</w:t>
      </w:r>
      <w:r w:rsidR="009A746F">
        <w:rPr>
          <w:rFonts w:ascii="Arial" w:hAnsi="Arial" w:cs="Arial"/>
          <w:sz w:val="22"/>
          <w:szCs w:val="22"/>
          <w:lang w:val="es-ES"/>
        </w:rPr>
        <w:t xml:space="preserve"> </w:t>
      </w:r>
      <w:proofErr w:type="spellStart"/>
      <w:r w:rsidR="009A746F">
        <w:rPr>
          <w:rFonts w:ascii="Arial" w:hAnsi="Arial" w:cs="Arial"/>
          <w:sz w:val="22"/>
          <w:szCs w:val="22"/>
          <w:lang w:val="es-ES"/>
        </w:rPr>
        <w:t>db</w:t>
      </w:r>
      <w:proofErr w:type="spellEnd"/>
      <w:r w:rsidR="007E5BF2" w:rsidRPr="00524CAB">
        <w:rPr>
          <w:rFonts w:ascii="Arial" w:hAnsi="Arial" w:cs="Arial"/>
          <w:sz w:val="22"/>
          <w:szCs w:val="22"/>
          <w:lang w:val="es-ES"/>
        </w:rPr>
        <w:t xml:space="preserve"> con un RIQ de 9 y a los 6 meses de 30</w:t>
      </w:r>
      <w:r w:rsidR="009A746F">
        <w:rPr>
          <w:rFonts w:ascii="Arial" w:hAnsi="Arial" w:cs="Arial"/>
          <w:sz w:val="22"/>
          <w:szCs w:val="22"/>
          <w:lang w:val="es-ES"/>
        </w:rPr>
        <w:t xml:space="preserve"> </w:t>
      </w:r>
      <w:proofErr w:type="spellStart"/>
      <w:r w:rsidR="009A746F">
        <w:rPr>
          <w:rFonts w:ascii="Arial" w:hAnsi="Arial" w:cs="Arial"/>
          <w:sz w:val="22"/>
          <w:szCs w:val="22"/>
          <w:lang w:val="es-ES"/>
        </w:rPr>
        <w:t>db</w:t>
      </w:r>
      <w:proofErr w:type="spellEnd"/>
      <w:r w:rsidR="007E5BF2" w:rsidRPr="00524CAB">
        <w:rPr>
          <w:rFonts w:ascii="Arial" w:hAnsi="Arial" w:cs="Arial"/>
          <w:sz w:val="22"/>
          <w:szCs w:val="22"/>
          <w:lang w:val="es-ES"/>
        </w:rPr>
        <w:t xml:space="preserve"> con un RIQ de 5. El porcentaje de discriminación del lenguaje pre-quirúrgico tuvo una mediana de 20</w:t>
      </w:r>
      <w:r w:rsidR="009A746F">
        <w:rPr>
          <w:rFonts w:ascii="Arial" w:hAnsi="Arial" w:cs="Arial"/>
          <w:sz w:val="22"/>
          <w:szCs w:val="22"/>
          <w:lang w:val="es-ES"/>
        </w:rPr>
        <w:t xml:space="preserve"> %</w:t>
      </w:r>
      <w:r w:rsidR="007E5BF2" w:rsidRPr="00524CAB">
        <w:rPr>
          <w:rFonts w:ascii="Arial" w:hAnsi="Arial" w:cs="Arial"/>
          <w:sz w:val="22"/>
          <w:szCs w:val="22"/>
          <w:lang w:val="es-ES"/>
        </w:rPr>
        <w:t xml:space="preserve"> con un RIQ de </w:t>
      </w:r>
      <w:r w:rsidR="007E5BF2" w:rsidRPr="00524CAB">
        <w:rPr>
          <w:rFonts w:ascii="Arial" w:hAnsi="Arial" w:cs="Arial"/>
          <w:sz w:val="22"/>
          <w:szCs w:val="22"/>
          <w:lang w:val="es-ES"/>
        </w:rPr>
        <w:lastRenderedPageBreak/>
        <w:t xml:space="preserve">20, a los 6 meses de 85.13 </w:t>
      </w:r>
      <w:r w:rsidR="009A746F">
        <w:rPr>
          <w:rFonts w:ascii="Arial" w:hAnsi="Arial" w:cs="Arial"/>
          <w:sz w:val="22"/>
          <w:szCs w:val="22"/>
          <w:lang w:val="es-ES"/>
        </w:rPr>
        <w:t xml:space="preserve"> % </w:t>
      </w:r>
      <w:r w:rsidR="007E5BF2" w:rsidRPr="00524CAB">
        <w:rPr>
          <w:rFonts w:ascii="Arial" w:hAnsi="Arial" w:cs="Arial"/>
          <w:sz w:val="22"/>
          <w:szCs w:val="22"/>
          <w:lang w:val="es-ES"/>
        </w:rPr>
        <w:t>con un RIQ de 4.07, y a los 12 meses de 90.9</w:t>
      </w:r>
      <w:r w:rsidR="009A746F">
        <w:rPr>
          <w:rFonts w:ascii="Arial" w:hAnsi="Arial" w:cs="Arial"/>
          <w:sz w:val="22"/>
          <w:szCs w:val="22"/>
          <w:lang w:val="es-ES"/>
        </w:rPr>
        <w:t xml:space="preserve"> %</w:t>
      </w:r>
      <w:r w:rsidR="007E5BF2" w:rsidRPr="00524CAB">
        <w:rPr>
          <w:rFonts w:ascii="Arial" w:hAnsi="Arial" w:cs="Arial"/>
          <w:sz w:val="22"/>
          <w:szCs w:val="22"/>
          <w:lang w:val="es-ES"/>
        </w:rPr>
        <w:t xml:space="preserve"> con un RIQ de 2.65. La correlación de Pearson mostró diferencias estadísticamente significativas entre</w:t>
      </w:r>
      <w:r w:rsidR="009A746F">
        <w:rPr>
          <w:rFonts w:ascii="Arial" w:hAnsi="Arial" w:cs="Arial"/>
          <w:sz w:val="22"/>
          <w:szCs w:val="22"/>
          <w:lang w:val="es-ES"/>
        </w:rPr>
        <w:t xml:space="preserve"> los valores del promedio de ton</w:t>
      </w:r>
      <w:r w:rsidR="007E5BF2" w:rsidRPr="00524CAB">
        <w:rPr>
          <w:rFonts w:ascii="Arial" w:hAnsi="Arial" w:cs="Arial"/>
          <w:sz w:val="22"/>
          <w:szCs w:val="22"/>
          <w:lang w:val="es-ES"/>
        </w:rPr>
        <w:t>os puros del habla pre-quirúrgicos y a los 6 y 12 meses (p=0.004 y 0.028 respectivamente) y entre los valores del porcentaje de discriminación del lenguaje pre-quirúrgico y a los 6 y 12 meses (p=0.000). Por medio de una regresión lineal se encontró que el 22% de la varianza del valor de promedio de todos puros a los 6 meses es explicado por la etiología de la enfermedad para (p=0.048), mientras que el 29% de la varianza del porcentaje de discriminación del lenguaje pre-quirúrgico es explicado por el tipo de dispositivo (p=0.004).</w:t>
      </w:r>
      <w:r w:rsidR="007E5BF2" w:rsidRPr="00524CAB">
        <w:rPr>
          <w:rFonts w:ascii="Arial" w:hAnsi="Arial" w:cs="Arial"/>
          <w:bCs/>
          <w:sz w:val="22"/>
          <w:szCs w:val="22"/>
          <w:lang w:val="es-ES"/>
        </w:rPr>
        <w:t xml:space="preserve"> </w:t>
      </w:r>
      <w:proofErr w:type="gramStart"/>
      <w:r w:rsidR="00251319" w:rsidRPr="00524CAB">
        <w:rPr>
          <w:rFonts w:ascii="Arial" w:hAnsi="Arial" w:cs="Arial"/>
          <w:bCs/>
          <w:i/>
          <w:sz w:val="22"/>
          <w:szCs w:val="22"/>
          <w:u w:val="single"/>
          <w:lang w:val="es-ES"/>
        </w:rPr>
        <w:t>conclusiones</w:t>
      </w:r>
      <w:proofErr w:type="gramEnd"/>
      <w:r w:rsidR="00251319" w:rsidRPr="00524CAB">
        <w:rPr>
          <w:rFonts w:ascii="Arial" w:hAnsi="Arial" w:cs="Arial"/>
          <w:bCs/>
          <w:i/>
          <w:sz w:val="22"/>
          <w:szCs w:val="22"/>
          <w:u w:val="single"/>
          <w:lang w:val="es-ES"/>
        </w:rPr>
        <w:t>:</w:t>
      </w:r>
      <w:r w:rsidR="00251319" w:rsidRPr="00524CAB">
        <w:rPr>
          <w:rFonts w:ascii="Arial" w:hAnsi="Arial" w:cs="Arial"/>
          <w:bCs/>
          <w:sz w:val="22"/>
          <w:szCs w:val="22"/>
          <w:lang w:val="es-ES"/>
        </w:rPr>
        <w:t xml:space="preserve"> </w:t>
      </w:r>
      <w:r w:rsidR="007E5BF2" w:rsidRPr="00524CAB">
        <w:rPr>
          <w:rFonts w:ascii="Arial" w:hAnsi="Arial" w:cs="Arial"/>
          <w:sz w:val="22"/>
          <w:szCs w:val="22"/>
          <w:lang w:val="es-ES"/>
        </w:rPr>
        <w:t xml:space="preserve">Se puede concluir que el implante coclear mejora los resultados de las pruebas audiológicas en pacientes mayores de 65 años con hipoacusia </w:t>
      </w:r>
      <w:proofErr w:type="spellStart"/>
      <w:r w:rsidR="007E5BF2" w:rsidRPr="00524CAB">
        <w:rPr>
          <w:rFonts w:ascii="Arial" w:hAnsi="Arial" w:cs="Arial"/>
          <w:sz w:val="22"/>
          <w:szCs w:val="22"/>
          <w:lang w:val="es-ES"/>
        </w:rPr>
        <w:t>neurosensorial</w:t>
      </w:r>
      <w:proofErr w:type="spellEnd"/>
      <w:r w:rsidR="007E5BF2" w:rsidRPr="00524CAB">
        <w:rPr>
          <w:rFonts w:ascii="Arial" w:hAnsi="Arial" w:cs="Arial"/>
          <w:sz w:val="22"/>
          <w:szCs w:val="22"/>
          <w:lang w:val="es-ES"/>
        </w:rPr>
        <w:t xml:space="preserve">. Los resultados del presente estudio demuestran que la mejoría de los resultados se mantiene durante el tiempo (12 meses) y no se ve influenciada por variables socio-demográficas. </w:t>
      </w:r>
    </w:p>
    <w:p w14:paraId="28119643" w14:textId="77777777" w:rsidR="00524CAB" w:rsidRDefault="00524CAB" w:rsidP="00E50C09">
      <w:pPr>
        <w:tabs>
          <w:tab w:val="left" w:pos="2252"/>
        </w:tabs>
        <w:jc w:val="both"/>
        <w:rPr>
          <w:rFonts w:ascii="Arial" w:hAnsi="Arial" w:cs="Arial"/>
          <w:bCs/>
          <w:lang w:val="es-ES"/>
        </w:rPr>
      </w:pPr>
    </w:p>
    <w:p w14:paraId="7C4F56E4" w14:textId="2B719829" w:rsidR="00E50C09" w:rsidRPr="00524CAB" w:rsidRDefault="00D045F9" w:rsidP="00E50C09">
      <w:pPr>
        <w:tabs>
          <w:tab w:val="left" w:pos="2252"/>
        </w:tabs>
        <w:jc w:val="both"/>
        <w:rPr>
          <w:rFonts w:ascii="Arial" w:hAnsi="Arial" w:cs="Arial"/>
          <w:color w:val="000000" w:themeColor="text1"/>
          <w:sz w:val="22"/>
          <w:szCs w:val="22"/>
          <w:lang w:val="es-ES"/>
        </w:rPr>
      </w:pPr>
      <w:r w:rsidRPr="00524CAB">
        <w:rPr>
          <w:rFonts w:ascii="Arial" w:hAnsi="Arial" w:cs="Arial"/>
          <w:b/>
          <w:bCs/>
          <w:sz w:val="22"/>
          <w:szCs w:val="22"/>
          <w:lang w:val="es-ES"/>
        </w:rPr>
        <w:t>Palabras clave</w:t>
      </w:r>
      <w:r w:rsidR="008E30F3" w:rsidRPr="00524CAB">
        <w:rPr>
          <w:rFonts w:ascii="Arial" w:hAnsi="Arial" w:cs="Arial"/>
          <w:b/>
          <w:bCs/>
          <w:sz w:val="22"/>
          <w:szCs w:val="22"/>
          <w:lang w:val="es-ES"/>
        </w:rPr>
        <w:t xml:space="preserve"> (</w:t>
      </w:r>
      <w:proofErr w:type="spellStart"/>
      <w:r w:rsidR="008E30F3" w:rsidRPr="00524CAB">
        <w:rPr>
          <w:rFonts w:ascii="Arial" w:hAnsi="Arial" w:cs="Arial"/>
          <w:b/>
          <w:bCs/>
          <w:sz w:val="22"/>
          <w:szCs w:val="22"/>
          <w:lang w:val="es-ES"/>
        </w:rPr>
        <w:t>DeCs</w:t>
      </w:r>
      <w:proofErr w:type="spellEnd"/>
      <w:r w:rsidR="008E30F3" w:rsidRPr="00524CAB">
        <w:rPr>
          <w:rFonts w:ascii="Arial" w:hAnsi="Arial" w:cs="Arial"/>
          <w:b/>
          <w:bCs/>
          <w:sz w:val="22"/>
          <w:szCs w:val="22"/>
          <w:lang w:val="es-ES"/>
        </w:rPr>
        <w:t>)</w:t>
      </w:r>
      <w:r w:rsidRPr="00524CAB">
        <w:rPr>
          <w:rFonts w:ascii="Arial" w:hAnsi="Arial" w:cs="Arial"/>
          <w:b/>
          <w:bCs/>
          <w:sz w:val="22"/>
          <w:szCs w:val="22"/>
          <w:lang w:val="es-ES"/>
        </w:rPr>
        <w:t xml:space="preserve">: </w:t>
      </w:r>
      <w:r w:rsidR="00E50C09" w:rsidRPr="00524CAB">
        <w:rPr>
          <w:rFonts w:ascii="Arial" w:hAnsi="Arial" w:cs="Arial"/>
          <w:color w:val="000000" w:themeColor="text1"/>
          <w:sz w:val="22"/>
          <w:szCs w:val="22"/>
          <w:lang w:val="es-ES"/>
        </w:rPr>
        <w:t xml:space="preserve">Implante coclear </w:t>
      </w:r>
      <w:proofErr w:type="gramStart"/>
      <w:r w:rsidR="008B5E29">
        <w:rPr>
          <w:rFonts w:ascii="Arial" w:hAnsi="Arial" w:cs="Arial"/>
          <w:color w:val="000000" w:themeColor="text1"/>
          <w:sz w:val="22"/>
          <w:szCs w:val="22"/>
          <w:lang w:val="es-ES"/>
        </w:rPr>
        <w:t>( IC</w:t>
      </w:r>
      <w:proofErr w:type="gramEnd"/>
      <w:r w:rsidR="008B5E29">
        <w:rPr>
          <w:rFonts w:ascii="Arial" w:hAnsi="Arial" w:cs="Arial"/>
          <w:color w:val="000000" w:themeColor="text1"/>
          <w:sz w:val="22"/>
          <w:szCs w:val="22"/>
          <w:lang w:val="es-ES"/>
        </w:rPr>
        <w:t xml:space="preserve">) </w:t>
      </w:r>
      <w:r w:rsidR="00E50C09" w:rsidRPr="00524CAB">
        <w:rPr>
          <w:rFonts w:ascii="Arial" w:hAnsi="Arial" w:cs="Arial"/>
          <w:color w:val="000000" w:themeColor="text1"/>
          <w:sz w:val="22"/>
          <w:szCs w:val="22"/>
          <w:lang w:val="es-ES"/>
        </w:rPr>
        <w:t xml:space="preserve">unilateral, Hipoacusia </w:t>
      </w:r>
      <w:proofErr w:type="spellStart"/>
      <w:r w:rsidR="00E50C09" w:rsidRPr="00524CAB">
        <w:rPr>
          <w:rFonts w:ascii="Arial" w:hAnsi="Arial" w:cs="Arial"/>
          <w:color w:val="000000" w:themeColor="text1"/>
          <w:sz w:val="22"/>
          <w:szCs w:val="22"/>
          <w:lang w:val="es-ES"/>
        </w:rPr>
        <w:t>neurosensorial</w:t>
      </w:r>
      <w:proofErr w:type="spellEnd"/>
      <w:r w:rsidR="00E50C09" w:rsidRPr="00524CAB">
        <w:rPr>
          <w:rFonts w:ascii="Arial" w:hAnsi="Arial" w:cs="Arial"/>
          <w:color w:val="000000" w:themeColor="text1"/>
          <w:sz w:val="22"/>
          <w:szCs w:val="22"/>
          <w:lang w:val="es-ES"/>
        </w:rPr>
        <w:t xml:space="preserve"> </w:t>
      </w:r>
      <w:r w:rsidR="00E50C09" w:rsidRPr="00524CAB">
        <w:rPr>
          <w:rFonts w:ascii="Arial" w:hAnsi="Arial" w:cs="Arial"/>
          <w:sz w:val="22"/>
          <w:szCs w:val="22"/>
          <w:lang w:val="es-ES"/>
        </w:rPr>
        <w:t>profunda severa</w:t>
      </w:r>
      <w:r w:rsidR="00E50C09" w:rsidRPr="00524CAB">
        <w:rPr>
          <w:rFonts w:ascii="Arial" w:hAnsi="Arial" w:cs="Arial"/>
          <w:color w:val="000000" w:themeColor="text1"/>
          <w:sz w:val="22"/>
          <w:szCs w:val="22"/>
          <w:lang w:val="es-ES"/>
        </w:rPr>
        <w:t>, A</w:t>
      </w:r>
      <w:r w:rsidR="00E10FDE">
        <w:rPr>
          <w:rFonts w:ascii="Arial" w:hAnsi="Arial" w:cs="Arial"/>
          <w:color w:val="000000" w:themeColor="text1"/>
          <w:sz w:val="22"/>
          <w:szCs w:val="22"/>
          <w:lang w:val="es-ES"/>
        </w:rPr>
        <w:t>dulto mayor, promedio de tonos puros , discriminación del lenguaje</w:t>
      </w:r>
    </w:p>
    <w:p w14:paraId="6061EDF9" w14:textId="77777777" w:rsidR="00E10FDE" w:rsidRDefault="00E10FDE" w:rsidP="00686501">
      <w:pPr>
        <w:jc w:val="both"/>
        <w:rPr>
          <w:rFonts w:ascii="Arial" w:hAnsi="Arial" w:cs="Arial"/>
          <w:sz w:val="22"/>
          <w:szCs w:val="22"/>
          <w:lang w:val="es-ES"/>
        </w:rPr>
      </w:pPr>
    </w:p>
    <w:p w14:paraId="0A6CE19A" w14:textId="5E4456C4" w:rsidR="00773C52" w:rsidRDefault="00444DAD" w:rsidP="00686501">
      <w:pPr>
        <w:jc w:val="both"/>
        <w:rPr>
          <w:rFonts w:ascii="Arial" w:eastAsia="Times New Roman" w:hAnsi="Arial" w:cs="Arial"/>
          <w:b/>
          <w:sz w:val="22"/>
          <w:szCs w:val="22"/>
          <w:lang w:val="en"/>
        </w:rPr>
      </w:pPr>
      <w:r w:rsidRPr="00524CAB">
        <w:rPr>
          <w:rFonts w:ascii="Arial" w:eastAsia="Times New Roman" w:hAnsi="Arial" w:cs="Arial"/>
          <w:b/>
          <w:sz w:val="22"/>
          <w:szCs w:val="22"/>
          <w:lang w:val="en"/>
        </w:rPr>
        <w:t>ABSTRACT</w:t>
      </w:r>
      <w:r w:rsidR="00250015" w:rsidRPr="00524CAB">
        <w:rPr>
          <w:rFonts w:ascii="Arial" w:eastAsia="Times New Roman" w:hAnsi="Arial" w:cs="Arial"/>
          <w:sz w:val="22"/>
          <w:szCs w:val="22"/>
          <w:lang w:val="en"/>
        </w:rPr>
        <w:br/>
      </w:r>
    </w:p>
    <w:p w14:paraId="27F36025" w14:textId="70241F3A" w:rsidR="00E10FDE" w:rsidRPr="00E10FDE" w:rsidRDefault="00E10FDE" w:rsidP="00686501">
      <w:pPr>
        <w:jc w:val="both"/>
        <w:rPr>
          <w:rFonts w:ascii="Arial" w:eastAsia="Times New Roman" w:hAnsi="Arial" w:cs="Arial"/>
          <w:b/>
          <w:sz w:val="22"/>
          <w:szCs w:val="22"/>
          <w:lang w:val="en"/>
        </w:rPr>
      </w:pPr>
      <w:r w:rsidRPr="003F7F99">
        <w:rPr>
          <w:rFonts w:ascii="Arial" w:eastAsia="Times New Roman" w:hAnsi="Arial" w:cs="Arial"/>
          <w:i/>
          <w:sz w:val="22"/>
          <w:szCs w:val="22"/>
          <w:u w:val="single"/>
          <w:lang w:val="en"/>
        </w:rPr>
        <w:t>Introduction:</w:t>
      </w:r>
      <w:r w:rsidRPr="00E10FDE">
        <w:rPr>
          <w:rFonts w:ascii="Arial" w:eastAsia="Times New Roman" w:hAnsi="Arial" w:cs="Arial"/>
          <w:sz w:val="22"/>
          <w:szCs w:val="22"/>
          <w:lang w:val="en"/>
        </w:rPr>
        <w:t xml:space="preserve"> </w:t>
      </w:r>
      <w:r w:rsidR="00004184">
        <w:rPr>
          <w:rFonts w:ascii="Arial" w:eastAsia="Times New Roman" w:hAnsi="Arial" w:cs="Arial"/>
          <w:sz w:val="22"/>
          <w:szCs w:val="22"/>
          <w:lang w:val="en"/>
        </w:rPr>
        <w:t xml:space="preserve">deafness </w:t>
      </w:r>
      <w:r w:rsidRPr="00E10FDE">
        <w:rPr>
          <w:rFonts w:ascii="Arial" w:eastAsia="Times New Roman" w:hAnsi="Arial" w:cs="Arial"/>
          <w:sz w:val="22"/>
          <w:szCs w:val="22"/>
          <w:lang w:val="en"/>
        </w:rPr>
        <w:t>is a common alteration in adult and incapacitating age and involves problems in the conversion of mechanical vibrations into electrical p</w:t>
      </w:r>
      <w:r w:rsidR="00004184">
        <w:rPr>
          <w:rFonts w:ascii="Arial" w:eastAsia="Times New Roman" w:hAnsi="Arial" w:cs="Arial"/>
          <w:sz w:val="22"/>
          <w:szCs w:val="22"/>
          <w:lang w:val="en"/>
        </w:rPr>
        <w:t>otential in the cochlea or</w:t>
      </w:r>
      <w:r w:rsidRPr="00E10FDE">
        <w:rPr>
          <w:rFonts w:ascii="Arial" w:eastAsia="Times New Roman" w:hAnsi="Arial" w:cs="Arial"/>
          <w:sz w:val="22"/>
          <w:szCs w:val="22"/>
          <w:lang w:val="en"/>
        </w:rPr>
        <w:t xml:space="preserve"> transmission in the </w:t>
      </w:r>
      <w:proofErr w:type="spellStart"/>
      <w:r w:rsidRPr="00E10FDE">
        <w:rPr>
          <w:rFonts w:ascii="Arial" w:eastAsia="Times New Roman" w:hAnsi="Arial" w:cs="Arial"/>
          <w:sz w:val="22"/>
          <w:szCs w:val="22"/>
          <w:lang w:val="en"/>
        </w:rPr>
        <w:t>vestibulocochlear</w:t>
      </w:r>
      <w:proofErr w:type="spellEnd"/>
      <w:r w:rsidRPr="00E10FDE">
        <w:rPr>
          <w:rFonts w:ascii="Arial" w:eastAsia="Times New Roman" w:hAnsi="Arial" w:cs="Arial"/>
          <w:sz w:val="22"/>
          <w:szCs w:val="22"/>
          <w:lang w:val="en"/>
        </w:rPr>
        <w:t xml:space="preserve"> nerve to the brain. In those patients with severe / profound </w:t>
      </w:r>
      <w:proofErr w:type="spellStart"/>
      <w:r w:rsidRPr="00E10FDE">
        <w:rPr>
          <w:rFonts w:ascii="Arial" w:eastAsia="Times New Roman" w:hAnsi="Arial" w:cs="Arial"/>
          <w:sz w:val="22"/>
          <w:szCs w:val="22"/>
          <w:lang w:val="en"/>
        </w:rPr>
        <w:t>sensorineural</w:t>
      </w:r>
      <w:proofErr w:type="spellEnd"/>
      <w:r w:rsidR="003F7F99">
        <w:rPr>
          <w:rFonts w:ascii="Arial" w:eastAsia="Times New Roman" w:hAnsi="Arial" w:cs="Arial"/>
          <w:sz w:val="22"/>
          <w:szCs w:val="22"/>
          <w:lang w:val="en"/>
        </w:rPr>
        <w:t xml:space="preserve"> deafness</w:t>
      </w:r>
      <w:r w:rsidRPr="00E10FDE">
        <w:rPr>
          <w:rFonts w:ascii="Arial" w:eastAsia="Times New Roman" w:hAnsi="Arial" w:cs="Arial"/>
          <w:sz w:val="22"/>
          <w:szCs w:val="22"/>
          <w:lang w:val="en"/>
        </w:rPr>
        <w:t>, the cochlear implant is indicated. Specifically in patients older than 65</w:t>
      </w:r>
      <w:r w:rsidR="000500EE">
        <w:rPr>
          <w:rFonts w:ascii="Arial" w:eastAsia="Times New Roman" w:hAnsi="Arial" w:cs="Arial"/>
          <w:sz w:val="22"/>
          <w:szCs w:val="22"/>
          <w:lang w:val="en"/>
        </w:rPr>
        <w:t xml:space="preserve"> years</w:t>
      </w:r>
      <w:r w:rsidRPr="00E10FDE">
        <w:rPr>
          <w:rFonts w:ascii="Arial" w:eastAsia="Times New Roman" w:hAnsi="Arial" w:cs="Arial"/>
          <w:sz w:val="22"/>
          <w:szCs w:val="22"/>
          <w:lang w:val="en"/>
        </w:rPr>
        <w:t xml:space="preserve">, it has a lower impact on auditory quality with improvement in the quality of life comparable to the young population. In general, it is a well-tolerated procedure and the lower and higher risk rates derived from the intervention are comparable with the young population. </w:t>
      </w:r>
      <w:r w:rsidRPr="002F144B">
        <w:rPr>
          <w:rFonts w:ascii="Arial" w:eastAsia="Times New Roman" w:hAnsi="Arial" w:cs="Arial"/>
          <w:i/>
          <w:sz w:val="22"/>
          <w:szCs w:val="22"/>
          <w:u w:val="single"/>
          <w:lang w:val="en"/>
        </w:rPr>
        <w:t>Objective:</w:t>
      </w:r>
      <w:r w:rsidRPr="00E10FDE">
        <w:rPr>
          <w:rFonts w:ascii="Arial" w:eastAsia="Times New Roman" w:hAnsi="Arial" w:cs="Arial"/>
          <w:sz w:val="22"/>
          <w:szCs w:val="22"/>
          <w:lang w:val="en"/>
        </w:rPr>
        <w:t xml:space="preserve"> To determine the differences in the results of the audiometry and </w:t>
      </w:r>
      <w:proofErr w:type="spellStart"/>
      <w:r w:rsidRPr="00E10FDE">
        <w:rPr>
          <w:rFonts w:ascii="Arial" w:eastAsia="Times New Roman" w:hAnsi="Arial" w:cs="Arial"/>
          <w:sz w:val="22"/>
          <w:szCs w:val="22"/>
          <w:lang w:val="en"/>
        </w:rPr>
        <w:t>logoaudiometry</w:t>
      </w:r>
      <w:proofErr w:type="spellEnd"/>
      <w:r w:rsidRPr="00E10FDE">
        <w:rPr>
          <w:rFonts w:ascii="Arial" w:eastAsia="Times New Roman" w:hAnsi="Arial" w:cs="Arial"/>
          <w:sz w:val="22"/>
          <w:szCs w:val="22"/>
          <w:lang w:val="en"/>
        </w:rPr>
        <w:t xml:space="preserve"> tests before and at 6 and 12 months after the cochlear implant in patients over 65 years of age in the Hospital </w:t>
      </w:r>
      <w:proofErr w:type="spellStart"/>
      <w:r w:rsidRPr="00E10FDE">
        <w:rPr>
          <w:rFonts w:ascii="Arial" w:eastAsia="Times New Roman" w:hAnsi="Arial" w:cs="Arial"/>
          <w:sz w:val="22"/>
          <w:szCs w:val="22"/>
          <w:lang w:val="en"/>
        </w:rPr>
        <w:t>Universitario</w:t>
      </w:r>
      <w:proofErr w:type="spellEnd"/>
      <w:r w:rsidRPr="00E10FDE">
        <w:rPr>
          <w:rFonts w:ascii="Arial" w:eastAsia="Times New Roman" w:hAnsi="Arial" w:cs="Arial"/>
          <w:sz w:val="22"/>
          <w:szCs w:val="22"/>
          <w:lang w:val="en"/>
        </w:rPr>
        <w:t xml:space="preserve"> </w:t>
      </w:r>
      <w:proofErr w:type="spellStart"/>
      <w:r w:rsidRPr="00E10FDE">
        <w:rPr>
          <w:rFonts w:ascii="Arial" w:eastAsia="Times New Roman" w:hAnsi="Arial" w:cs="Arial"/>
          <w:sz w:val="22"/>
          <w:szCs w:val="22"/>
          <w:lang w:val="en"/>
        </w:rPr>
        <w:t>Clínica</w:t>
      </w:r>
      <w:proofErr w:type="spellEnd"/>
      <w:r w:rsidRPr="00E10FDE">
        <w:rPr>
          <w:rFonts w:ascii="Arial" w:eastAsia="Times New Roman" w:hAnsi="Arial" w:cs="Arial"/>
          <w:sz w:val="22"/>
          <w:szCs w:val="22"/>
          <w:lang w:val="en"/>
        </w:rPr>
        <w:t xml:space="preserve"> San Rafael in the period 2006-2016. </w:t>
      </w:r>
      <w:r w:rsidRPr="002F144B">
        <w:rPr>
          <w:rFonts w:ascii="Arial" w:eastAsia="Times New Roman" w:hAnsi="Arial" w:cs="Arial"/>
          <w:i/>
          <w:sz w:val="22"/>
          <w:szCs w:val="22"/>
          <w:u w:val="single"/>
          <w:lang w:val="en"/>
        </w:rPr>
        <w:t>Design</w:t>
      </w:r>
      <w:r w:rsidRPr="00E10FDE">
        <w:rPr>
          <w:rFonts w:ascii="Arial" w:eastAsia="Times New Roman" w:hAnsi="Arial" w:cs="Arial"/>
          <w:sz w:val="22"/>
          <w:szCs w:val="22"/>
          <w:lang w:val="en"/>
        </w:rPr>
        <w:t xml:space="preserve">: descriptive study retrospective cross section. </w:t>
      </w:r>
      <w:r w:rsidRPr="002F144B">
        <w:rPr>
          <w:rFonts w:ascii="Arial" w:eastAsia="Times New Roman" w:hAnsi="Arial" w:cs="Arial"/>
          <w:i/>
          <w:sz w:val="22"/>
          <w:szCs w:val="22"/>
          <w:u w:val="single"/>
          <w:lang w:val="en"/>
        </w:rPr>
        <w:t>Materials and methods</w:t>
      </w:r>
      <w:r w:rsidRPr="00E10FDE">
        <w:rPr>
          <w:rFonts w:ascii="Arial" w:eastAsia="Times New Roman" w:hAnsi="Arial" w:cs="Arial"/>
          <w:sz w:val="22"/>
          <w:szCs w:val="22"/>
          <w:lang w:val="en"/>
        </w:rPr>
        <w:t xml:space="preserve">: Data from the electronic medical </w:t>
      </w:r>
      <w:r w:rsidR="002F144B">
        <w:rPr>
          <w:rFonts w:ascii="Arial" w:eastAsia="Times New Roman" w:hAnsi="Arial" w:cs="Arial"/>
          <w:sz w:val="22"/>
          <w:szCs w:val="22"/>
          <w:lang w:val="en"/>
        </w:rPr>
        <w:t xml:space="preserve">history </w:t>
      </w:r>
      <w:r w:rsidRPr="00E10FDE">
        <w:rPr>
          <w:rFonts w:ascii="Arial" w:eastAsia="Times New Roman" w:hAnsi="Arial" w:cs="Arial"/>
          <w:sz w:val="22"/>
          <w:szCs w:val="22"/>
          <w:lang w:val="en"/>
        </w:rPr>
        <w:t>was analyzed from 2006 to 2016 in 33 adult patients (&gt; 65 years old) with diagn</w:t>
      </w:r>
      <w:r w:rsidR="002F144B">
        <w:rPr>
          <w:rFonts w:ascii="Arial" w:eastAsia="Times New Roman" w:hAnsi="Arial" w:cs="Arial"/>
          <w:sz w:val="22"/>
          <w:szCs w:val="22"/>
          <w:lang w:val="en"/>
        </w:rPr>
        <w:t>osis of unilateral severe / profound</w:t>
      </w:r>
      <w:r w:rsidRPr="00E10FDE">
        <w:rPr>
          <w:rFonts w:ascii="Arial" w:eastAsia="Times New Roman" w:hAnsi="Arial" w:cs="Arial"/>
          <w:sz w:val="22"/>
          <w:szCs w:val="22"/>
          <w:lang w:val="en"/>
        </w:rPr>
        <w:t xml:space="preserve"> </w:t>
      </w:r>
      <w:proofErr w:type="spellStart"/>
      <w:r w:rsidRPr="00E10FDE">
        <w:rPr>
          <w:rFonts w:ascii="Arial" w:eastAsia="Times New Roman" w:hAnsi="Arial" w:cs="Arial"/>
          <w:sz w:val="22"/>
          <w:szCs w:val="22"/>
          <w:lang w:val="en"/>
        </w:rPr>
        <w:t>sensorineural</w:t>
      </w:r>
      <w:proofErr w:type="spellEnd"/>
      <w:r w:rsidRPr="00E10FDE">
        <w:rPr>
          <w:rFonts w:ascii="Arial" w:eastAsia="Times New Roman" w:hAnsi="Arial" w:cs="Arial"/>
          <w:sz w:val="22"/>
          <w:szCs w:val="22"/>
          <w:lang w:val="en"/>
        </w:rPr>
        <w:t xml:space="preserve"> hearing loss and who were taken to surgical treatment with a cochlear implant; We analyzed variables such as age, laterality, etiology, </w:t>
      </w:r>
      <w:proofErr w:type="spellStart"/>
      <w:r w:rsidRPr="00E10FDE">
        <w:rPr>
          <w:rFonts w:ascii="Arial" w:eastAsia="Times New Roman" w:hAnsi="Arial" w:cs="Arial"/>
          <w:sz w:val="22"/>
          <w:szCs w:val="22"/>
          <w:lang w:val="en"/>
        </w:rPr>
        <w:t>audiological</w:t>
      </w:r>
      <w:proofErr w:type="spellEnd"/>
      <w:r w:rsidRPr="00E10FDE">
        <w:rPr>
          <w:rFonts w:ascii="Arial" w:eastAsia="Times New Roman" w:hAnsi="Arial" w:cs="Arial"/>
          <w:sz w:val="22"/>
          <w:szCs w:val="22"/>
          <w:lang w:val="en"/>
        </w:rPr>
        <w:t xml:space="preserve"> tests (audiometry and </w:t>
      </w:r>
      <w:proofErr w:type="spellStart"/>
      <w:r w:rsidRPr="00E10FDE">
        <w:rPr>
          <w:rFonts w:ascii="Arial" w:eastAsia="Times New Roman" w:hAnsi="Arial" w:cs="Arial"/>
          <w:sz w:val="22"/>
          <w:szCs w:val="22"/>
          <w:lang w:val="en"/>
        </w:rPr>
        <w:t>logoaudiometry</w:t>
      </w:r>
      <w:proofErr w:type="spellEnd"/>
      <w:r w:rsidRPr="00E10FDE">
        <w:rPr>
          <w:rFonts w:ascii="Arial" w:eastAsia="Times New Roman" w:hAnsi="Arial" w:cs="Arial"/>
          <w:sz w:val="22"/>
          <w:szCs w:val="22"/>
          <w:lang w:val="en"/>
        </w:rPr>
        <w:t xml:space="preserve">) before and after surgery (6 and 12 months). </w:t>
      </w:r>
      <w:r w:rsidRPr="002F144B">
        <w:rPr>
          <w:rFonts w:ascii="Arial" w:eastAsia="Times New Roman" w:hAnsi="Arial" w:cs="Arial"/>
          <w:i/>
          <w:sz w:val="22"/>
          <w:szCs w:val="22"/>
          <w:u w:val="single"/>
          <w:lang w:val="en"/>
        </w:rPr>
        <w:t>Results:</w:t>
      </w:r>
      <w:r w:rsidRPr="00E10FDE">
        <w:rPr>
          <w:rFonts w:ascii="Arial" w:eastAsia="Times New Roman" w:hAnsi="Arial" w:cs="Arial"/>
          <w:sz w:val="22"/>
          <w:szCs w:val="22"/>
          <w:lang w:val="en"/>
        </w:rPr>
        <w:t xml:space="preserve"> A total of 33 patients were found, of which 60.6% were male and 39.4% were female. The median age was 68 years with a RIQ of 5 years. The most used device was the Cochlear Freedom in 24.4% and 60.6% of the patients did not have a known etiology</w:t>
      </w:r>
      <w:r w:rsidR="002F144B">
        <w:rPr>
          <w:rFonts w:ascii="Arial" w:eastAsia="Times New Roman" w:hAnsi="Arial" w:cs="Arial"/>
          <w:sz w:val="22"/>
          <w:szCs w:val="22"/>
          <w:lang w:val="en"/>
        </w:rPr>
        <w:t xml:space="preserve"> </w:t>
      </w:r>
      <w:r w:rsidR="002F144B" w:rsidRPr="002F144B">
        <w:rPr>
          <w:rFonts w:ascii="Arial" w:eastAsia="Times New Roman" w:hAnsi="Arial" w:cs="Arial"/>
          <w:sz w:val="22"/>
          <w:szCs w:val="22"/>
          <w:lang w:val="en"/>
        </w:rPr>
        <w:t>(</w:t>
      </w:r>
      <w:proofErr w:type="spellStart"/>
      <w:r w:rsidR="002F144B" w:rsidRPr="002F144B">
        <w:rPr>
          <w:rStyle w:val="shorttext"/>
          <w:rFonts w:ascii="Arial" w:eastAsia="Times New Roman" w:hAnsi="Arial" w:cs="Arial"/>
          <w:sz w:val="22"/>
          <w:szCs w:val="22"/>
          <w:lang w:val="en"/>
        </w:rPr>
        <w:t>Presbycusis</w:t>
      </w:r>
      <w:proofErr w:type="spellEnd"/>
      <w:proofErr w:type="gramStart"/>
      <w:r w:rsidR="002F144B" w:rsidRPr="002F144B">
        <w:rPr>
          <w:rStyle w:val="shorttext"/>
          <w:rFonts w:ascii="Arial" w:eastAsia="Times New Roman" w:hAnsi="Arial" w:cs="Arial"/>
          <w:sz w:val="22"/>
          <w:szCs w:val="22"/>
          <w:lang w:val="en"/>
        </w:rPr>
        <w:t xml:space="preserve">) </w:t>
      </w:r>
      <w:r w:rsidRPr="00E10FDE">
        <w:rPr>
          <w:rFonts w:ascii="Arial" w:eastAsia="Times New Roman" w:hAnsi="Arial" w:cs="Arial"/>
          <w:sz w:val="22"/>
          <w:szCs w:val="22"/>
          <w:lang w:val="en"/>
        </w:rPr>
        <w:t>.</w:t>
      </w:r>
      <w:proofErr w:type="gramEnd"/>
      <w:r w:rsidRPr="00E10FDE">
        <w:rPr>
          <w:rFonts w:ascii="Arial" w:eastAsia="Times New Roman" w:hAnsi="Arial" w:cs="Arial"/>
          <w:sz w:val="22"/>
          <w:szCs w:val="22"/>
          <w:lang w:val="en"/>
        </w:rPr>
        <w:t xml:space="preserve"> The median for the </w:t>
      </w:r>
      <w:r w:rsidR="002F144B">
        <w:rPr>
          <w:rFonts w:ascii="Arial" w:eastAsia="Times New Roman" w:hAnsi="Arial" w:cs="Arial"/>
          <w:sz w:val="22"/>
          <w:szCs w:val="22"/>
          <w:lang w:val="en"/>
        </w:rPr>
        <w:t xml:space="preserve">pure tone </w:t>
      </w:r>
      <w:r w:rsidRPr="00E10FDE">
        <w:rPr>
          <w:rFonts w:ascii="Arial" w:eastAsia="Times New Roman" w:hAnsi="Arial" w:cs="Arial"/>
          <w:sz w:val="22"/>
          <w:szCs w:val="22"/>
          <w:lang w:val="en"/>
        </w:rPr>
        <w:t xml:space="preserve">average of all pre-surgical was 90 </w:t>
      </w:r>
      <w:proofErr w:type="spellStart"/>
      <w:r w:rsidR="002F144B">
        <w:rPr>
          <w:rFonts w:ascii="Arial" w:eastAsia="Times New Roman" w:hAnsi="Arial" w:cs="Arial"/>
          <w:sz w:val="22"/>
          <w:szCs w:val="22"/>
          <w:lang w:val="en"/>
        </w:rPr>
        <w:t>Db</w:t>
      </w:r>
      <w:proofErr w:type="spellEnd"/>
      <w:r w:rsidR="002F144B">
        <w:rPr>
          <w:rFonts w:ascii="Arial" w:eastAsia="Times New Roman" w:hAnsi="Arial" w:cs="Arial"/>
          <w:sz w:val="22"/>
          <w:szCs w:val="22"/>
          <w:lang w:val="en"/>
        </w:rPr>
        <w:t xml:space="preserve"> </w:t>
      </w:r>
      <w:r w:rsidRPr="00E10FDE">
        <w:rPr>
          <w:rFonts w:ascii="Arial" w:eastAsia="Times New Roman" w:hAnsi="Arial" w:cs="Arial"/>
          <w:sz w:val="22"/>
          <w:szCs w:val="22"/>
          <w:lang w:val="en"/>
        </w:rPr>
        <w:t>with an RIQ of 13, while at 6 months it was 31</w:t>
      </w:r>
      <w:r w:rsidR="002F144B">
        <w:rPr>
          <w:rFonts w:ascii="Arial" w:eastAsia="Times New Roman" w:hAnsi="Arial" w:cs="Arial"/>
          <w:sz w:val="22"/>
          <w:szCs w:val="22"/>
          <w:lang w:val="en"/>
        </w:rPr>
        <w:t xml:space="preserve"> </w:t>
      </w:r>
      <w:proofErr w:type="spellStart"/>
      <w:proofErr w:type="gramStart"/>
      <w:r w:rsidR="002F144B">
        <w:rPr>
          <w:rFonts w:ascii="Arial" w:eastAsia="Times New Roman" w:hAnsi="Arial" w:cs="Arial"/>
          <w:sz w:val="22"/>
          <w:szCs w:val="22"/>
          <w:lang w:val="en"/>
        </w:rPr>
        <w:t>Db</w:t>
      </w:r>
      <w:proofErr w:type="spellEnd"/>
      <w:r w:rsidR="002F144B">
        <w:rPr>
          <w:rFonts w:ascii="Arial" w:eastAsia="Times New Roman" w:hAnsi="Arial" w:cs="Arial"/>
          <w:sz w:val="22"/>
          <w:szCs w:val="22"/>
          <w:lang w:val="en"/>
        </w:rPr>
        <w:t xml:space="preserve"> </w:t>
      </w:r>
      <w:r w:rsidRPr="00E10FDE">
        <w:rPr>
          <w:rFonts w:ascii="Arial" w:eastAsia="Times New Roman" w:hAnsi="Arial" w:cs="Arial"/>
          <w:sz w:val="22"/>
          <w:szCs w:val="22"/>
          <w:lang w:val="en"/>
        </w:rPr>
        <w:t xml:space="preserve"> with</w:t>
      </w:r>
      <w:proofErr w:type="gramEnd"/>
      <w:r w:rsidRPr="00E10FDE">
        <w:rPr>
          <w:rFonts w:ascii="Arial" w:eastAsia="Times New Roman" w:hAnsi="Arial" w:cs="Arial"/>
          <w:sz w:val="22"/>
          <w:szCs w:val="22"/>
          <w:lang w:val="en"/>
        </w:rPr>
        <w:t xml:space="preserve"> an RIQ of 9 and at 6 months of 30</w:t>
      </w:r>
      <w:r w:rsidR="002F144B">
        <w:rPr>
          <w:rFonts w:ascii="Arial" w:eastAsia="Times New Roman" w:hAnsi="Arial" w:cs="Arial"/>
          <w:sz w:val="22"/>
          <w:szCs w:val="22"/>
          <w:lang w:val="en"/>
        </w:rPr>
        <w:t xml:space="preserve"> </w:t>
      </w:r>
      <w:proofErr w:type="spellStart"/>
      <w:r w:rsidR="002F144B">
        <w:rPr>
          <w:rFonts w:ascii="Arial" w:eastAsia="Times New Roman" w:hAnsi="Arial" w:cs="Arial"/>
          <w:sz w:val="22"/>
          <w:szCs w:val="22"/>
          <w:lang w:val="en"/>
        </w:rPr>
        <w:t>Db</w:t>
      </w:r>
      <w:proofErr w:type="spellEnd"/>
      <w:r w:rsidR="002F144B">
        <w:rPr>
          <w:rFonts w:ascii="Arial" w:eastAsia="Times New Roman" w:hAnsi="Arial" w:cs="Arial"/>
          <w:sz w:val="22"/>
          <w:szCs w:val="22"/>
          <w:lang w:val="en"/>
        </w:rPr>
        <w:t xml:space="preserve"> </w:t>
      </w:r>
      <w:r w:rsidRPr="00E10FDE">
        <w:rPr>
          <w:rFonts w:ascii="Arial" w:eastAsia="Times New Roman" w:hAnsi="Arial" w:cs="Arial"/>
          <w:sz w:val="22"/>
          <w:szCs w:val="22"/>
          <w:lang w:val="en"/>
        </w:rPr>
        <w:t xml:space="preserve"> with an RIQ of 5. The percentage of pre-surgical language discrimination had a median of 20 </w:t>
      </w:r>
      <w:r w:rsidR="009A746F">
        <w:rPr>
          <w:rFonts w:ascii="Arial" w:eastAsia="Times New Roman" w:hAnsi="Arial" w:cs="Arial"/>
          <w:sz w:val="22"/>
          <w:szCs w:val="22"/>
          <w:lang w:val="en"/>
        </w:rPr>
        <w:t xml:space="preserve">% </w:t>
      </w:r>
      <w:r w:rsidRPr="00E10FDE">
        <w:rPr>
          <w:rFonts w:ascii="Arial" w:eastAsia="Times New Roman" w:hAnsi="Arial" w:cs="Arial"/>
          <w:sz w:val="22"/>
          <w:szCs w:val="22"/>
          <w:lang w:val="en"/>
        </w:rPr>
        <w:t>with a RIQ of 20, at 6 months of 85.13</w:t>
      </w:r>
      <w:r w:rsidR="009A746F">
        <w:rPr>
          <w:rFonts w:ascii="Arial" w:eastAsia="Times New Roman" w:hAnsi="Arial" w:cs="Arial"/>
          <w:sz w:val="22"/>
          <w:szCs w:val="22"/>
          <w:lang w:val="en"/>
        </w:rPr>
        <w:t xml:space="preserve"> %</w:t>
      </w:r>
      <w:r w:rsidRPr="00E10FDE">
        <w:rPr>
          <w:rFonts w:ascii="Arial" w:eastAsia="Times New Roman" w:hAnsi="Arial" w:cs="Arial"/>
          <w:sz w:val="22"/>
          <w:szCs w:val="22"/>
          <w:lang w:val="en"/>
        </w:rPr>
        <w:t xml:space="preserve"> with a RIQ of 4.07, and at 12 months of 90.9</w:t>
      </w:r>
      <w:r w:rsidR="009A746F">
        <w:rPr>
          <w:rFonts w:ascii="Arial" w:eastAsia="Times New Roman" w:hAnsi="Arial" w:cs="Arial"/>
          <w:sz w:val="22"/>
          <w:szCs w:val="22"/>
          <w:lang w:val="en"/>
        </w:rPr>
        <w:t xml:space="preserve"> %</w:t>
      </w:r>
      <w:r w:rsidRPr="00E10FDE">
        <w:rPr>
          <w:rFonts w:ascii="Arial" w:eastAsia="Times New Roman" w:hAnsi="Arial" w:cs="Arial"/>
          <w:sz w:val="22"/>
          <w:szCs w:val="22"/>
          <w:lang w:val="en"/>
        </w:rPr>
        <w:t xml:space="preserve"> with a RIQ of 2.65. The Pearson correlation showed statistically significant differences between the mean values ​​of all pre-surgical </w:t>
      </w:r>
      <w:r w:rsidR="002F144B">
        <w:rPr>
          <w:rFonts w:ascii="Arial" w:eastAsia="Times New Roman" w:hAnsi="Arial" w:cs="Arial"/>
          <w:sz w:val="22"/>
          <w:szCs w:val="22"/>
          <w:lang w:val="en"/>
        </w:rPr>
        <w:t xml:space="preserve">PTA </w:t>
      </w:r>
      <w:r w:rsidRPr="00E10FDE">
        <w:rPr>
          <w:rFonts w:ascii="Arial" w:eastAsia="Times New Roman" w:hAnsi="Arial" w:cs="Arial"/>
          <w:sz w:val="22"/>
          <w:szCs w:val="22"/>
          <w:lang w:val="en"/>
        </w:rPr>
        <w:t xml:space="preserve">and at 6 and 12 months (p = 0.004 and 0.028 respectively) and between the values ​​of the discrimination percentage of the pre-surgical language and the 6 and 12 months (p = 0.000). By means of a linear regression it was found that 22% of the variance of the average value of all </w:t>
      </w:r>
      <w:r w:rsidR="002F144B">
        <w:rPr>
          <w:rFonts w:ascii="Arial" w:eastAsia="Times New Roman" w:hAnsi="Arial" w:cs="Arial"/>
          <w:sz w:val="22"/>
          <w:szCs w:val="22"/>
          <w:lang w:val="en"/>
        </w:rPr>
        <w:t xml:space="preserve">PTA </w:t>
      </w:r>
      <w:r w:rsidRPr="00E10FDE">
        <w:rPr>
          <w:rFonts w:ascii="Arial" w:eastAsia="Times New Roman" w:hAnsi="Arial" w:cs="Arial"/>
          <w:sz w:val="22"/>
          <w:szCs w:val="22"/>
          <w:lang w:val="en"/>
        </w:rPr>
        <w:t xml:space="preserve"> at 6 months is explained by the etiology of the disease for (p = 0.048), while 29% of the variance of the Percentage discrimination of pre-surgical language is explained by the type of device (p = 0.004). </w:t>
      </w:r>
      <w:proofErr w:type="gramStart"/>
      <w:r w:rsidRPr="002F144B">
        <w:rPr>
          <w:rFonts w:ascii="Arial" w:eastAsia="Times New Roman" w:hAnsi="Arial" w:cs="Arial"/>
          <w:i/>
          <w:sz w:val="22"/>
          <w:szCs w:val="22"/>
          <w:u w:val="single"/>
          <w:lang w:val="en"/>
        </w:rPr>
        <w:t>conclusions</w:t>
      </w:r>
      <w:proofErr w:type="gramEnd"/>
      <w:r w:rsidRPr="002F144B">
        <w:rPr>
          <w:rFonts w:ascii="Arial" w:eastAsia="Times New Roman" w:hAnsi="Arial" w:cs="Arial"/>
          <w:i/>
          <w:sz w:val="22"/>
          <w:szCs w:val="22"/>
          <w:u w:val="single"/>
          <w:lang w:val="en"/>
        </w:rPr>
        <w:t>:</w:t>
      </w:r>
      <w:r w:rsidRPr="00E10FDE">
        <w:rPr>
          <w:rFonts w:ascii="Arial" w:eastAsia="Times New Roman" w:hAnsi="Arial" w:cs="Arial"/>
          <w:sz w:val="22"/>
          <w:szCs w:val="22"/>
          <w:lang w:val="en"/>
        </w:rPr>
        <w:t xml:space="preserve"> </w:t>
      </w:r>
      <w:r w:rsidR="002F144B">
        <w:rPr>
          <w:rFonts w:ascii="Arial" w:eastAsia="Times New Roman" w:hAnsi="Arial" w:cs="Arial"/>
          <w:sz w:val="22"/>
          <w:szCs w:val="22"/>
          <w:lang w:val="en"/>
        </w:rPr>
        <w:t xml:space="preserve">we </w:t>
      </w:r>
      <w:r w:rsidRPr="00E10FDE">
        <w:rPr>
          <w:rFonts w:ascii="Arial" w:eastAsia="Times New Roman" w:hAnsi="Arial" w:cs="Arial"/>
          <w:sz w:val="22"/>
          <w:szCs w:val="22"/>
          <w:lang w:val="en"/>
        </w:rPr>
        <w:t xml:space="preserve">concluded that the cochlear implant improves the results of </w:t>
      </w:r>
      <w:proofErr w:type="spellStart"/>
      <w:r w:rsidRPr="00E10FDE">
        <w:rPr>
          <w:rFonts w:ascii="Arial" w:eastAsia="Times New Roman" w:hAnsi="Arial" w:cs="Arial"/>
          <w:sz w:val="22"/>
          <w:szCs w:val="22"/>
          <w:lang w:val="en"/>
        </w:rPr>
        <w:t>audiological</w:t>
      </w:r>
      <w:proofErr w:type="spellEnd"/>
      <w:r w:rsidRPr="00E10FDE">
        <w:rPr>
          <w:rFonts w:ascii="Arial" w:eastAsia="Times New Roman" w:hAnsi="Arial" w:cs="Arial"/>
          <w:sz w:val="22"/>
          <w:szCs w:val="22"/>
          <w:lang w:val="en"/>
        </w:rPr>
        <w:t xml:space="preserve"> tests in patients older than 65 years with </w:t>
      </w:r>
      <w:proofErr w:type="spellStart"/>
      <w:r w:rsidRPr="00E10FDE">
        <w:rPr>
          <w:rFonts w:ascii="Arial" w:eastAsia="Times New Roman" w:hAnsi="Arial" w:cs="Arial"/>
          <w:sz w:val="22"/>
          <w:szCs w:val="22"/>
          <w:lang w:val="en"/>
        </w:rPr>
        <w:t>sensorineural</w:t>
      </w:r>
      <w:proofErr w:type="spellEnd"/>
      <w:r w:rsidRPr="00E10FDE">
        <w:rPr>
          <w:rFonts w:ascii="Arial" w:eastAsia="Times New Roman" w:hAnsi="Arial" w:cs="Arial"/>
          <w:sz w:val="22"/>
          <w:szCs w:val="22"/>
          <w:lang w:val="en"/>
        </w:rPr>
        <w:t xml:space="preserve"> </w:t>
      </w:r>
      <w:r w:rsidR="002F144B">
        <w:rPr>
          <w:rFonts w:ascii="Arial" w:eastAsia="Times New Roman" w:hAnsi="Arial" w:cs="Arial"/>
          <w:sz w:val="22"/>
          <w:szCs w:val="22"/>
          <w:lang w:val="en"/>
        </w:rPr>
        <w:t>deafness</w:t>
      </w:r>
      <w:r w:rsidRPr="00E10FDE">
        <w:rPr>
          <w:rFonts w:ascii="Arial" w:eastAsia="Times New Roman" w:hAnsi="Arial" w:cs="Arial"/>
          <w:sz w:val="22"/>
          <w:szCs w:val="22"/>
          <w:lang w:val="en"/>
        </w:rPr>
        <w:t xml:space="preserve">. The results of the present study show that the improvement of </w:t>
      </w:r>
      <w:r w:rsidRPr="00E10FDE">
        <w:rPr>
          <w:rFonts w:ascii="Arial" w:eastAsia="Times New Roman" w:hAnsi="Arial" w:cs="Arial"/>
          <w:sz w:val="22"/>
          <w:szCs w:val="22"/>
          <w:lang w:val="en"/>
        </w:rPr>
        <w:lastRenderedPageBreak/>
        <w:t>the results is maintained during the time (12 months) and is not influenced by socio-demographic variables.</w:t>
      </w:r>
    </w:p>
    <w:p w14:paraId="3734756D" w14:textId="77777777" w:rsidR="00773C52" w:rsidRPr="00E10FDE" w:rsidRDefault="00773C52" w:rsidP="00686501">
      <w:pPr>
        <w:jc w:val="both"/>
        <w:rPr>
          <w:rFonts w:ascii="Arial" w:eastAsia="Times New Roman" w:hAnsi="Arial" w:cs="Arial"/>
          <w:b/>
          <w:sz w:val="22"/>
          <w:szCs w:val="22"/>
          <w:lang w:val="en"/>
        </w:rPr>
      </w:pPr>
    </w:p>
    <w:p w14:paraId="7B9F30D7" w14:textId="7F134D7E" w:rsidR="0021654E" w:rsidRPr="003F2AD8" w:rsidRDefault="00250015" w:rsidP="00E10FDE">
      <w:pPr>
        <w:widowControl w:val="0"/>
        <w:autoSpaceDE w:val="0"/>
        <w:autoSpaceDN w:val="0"/>
        <w:adjustRightInd w:val="0"/>
        <w:spacing w:after="240"/>
        <w:jc w:val="both"/>
        <w:rPr>
          <w:rFonts w:ascii="Arial" w:hAnsi="Arial" w:cs="Arial"/>
          <w:color w:val="000000"/>
          <w:sz w:val="22"/>
          <w:szCs w:val="22"/>
          <w:lang w:val="en-US"/>
        </w:rPr>
      </w:pPr>
      <w:r w:rsidRPr="00E10FDE">
        <w:rPr>
          <w:rFonts w:ascii="Arial" w:eastAsia="Times New Roman" w:hAnsi="Arial" w:cs="Arial"/>
          <w:b/>
          <w:sz w:val="22"/>
          <w:szCs w:val="22"/>
          <w:lang w:val="en"/>
        </w:rPr>
        <w:t>Key</w:t>
      </w:r>
      <w:r w:rsidR="008C505F" w:rsidRPr="00E10FDE">
        <w:rPr>
          <w:rFonts w:ascii="Arial" w:eastAsia="Times New Roman" w:hAnsi="Arial" w:cs="Arial"/>
          <w:b/>
          <w:sz w:val="22"/>
          <w:szCs w:val="22"/>
          <w:lang w:val="en"/>
        </w:rPr>
        <w:t xml:space="preserve"> </w:t>
      </w:r>
      <w:r w:rsidRPr="00E10FDE">
        <w:rPr>
          <w:rFonts w:ascii="Arial" w:eastAsia="Times New Roman" w:hAnsi="Arial" w:cs="Arial"/>
          <w:b/>
          <w:sz w:val="22"/>
          <w:szCs w:val="22"/>
          <w:lang w:val="en"/>
        </w:rPr>
        <w:t>words</w:t>
      </w:r>
      <w:r w:rsidR="00251319" w:rsidRPr="00E10FDE">
        <w:rPr>
          <w:rFonts w:ascii="Arial" w:eastAsia="Times New Roman" w:hAnsi="Arial" w:cs="Arial"/>
          <w:b/>
          <w:sz w:val="22"/>
          <w:szCs w:val="22"/>
          <w:lang w:val="en"/>
        </w:rPr>
        <w:t xml:space="preserve"> </w:t>
      </w:r>
      <w:proofErr w:type="gramStart"/>
      <w:r w:rsidR="00251319" w:rsidRPr="00E10FDE">
        <w:rPr>
          <w:rFonts w:ascii="Arial" w:eastAsia="Times New Roman" w:hAnsi="Arial" w:cs="Arial"/>
          <w:b/>
          <w:sz w:val="22"/>
          <w:szCs w:val="22"/>
          <w:lang w:val="en"/>
        </w:rPr>
        <w:t xml:space="preserve">( </w:t>
      </w:r>
      <w:proofErr w:type="spellStart"/>
      <w:r w:rsidR="00251319" w:rsidRPr="00E10FDE">
        <w:rPr>
          <w:rFonts w:ascii="Arial" w:eastAsia="Times New Roman" w:hAnsi="Arial" w:cs="Arial"/>
          <w:b/>
          <w:sz w:val="22"/>
          <w:szCs w:val="22"/>
          <w:lang w:val="en"/>
        </w:rPr>
        <w:t>MeSH</w:t>
      </w:r>
      <w:proofErr w:type="spellEnd"/>
      <w:proofErr w:type="gramEnd"/>
      <w:r w:rsidR="00251319" w:rsidRPr="00E10FDE">
        <w:rPr>
          <w:rFonts w:ascii="Arial" w:eastAsia="Times New Roman" w:hAnsi="Arial" w:cs="Arial"/>
          <w:b/>
          <w:sz w:val="22"/>
          <w:szCs w:val="22"/>
          <w:lang w:val="en"/>
        </w:rPr>
        <w:t xml:space="preserve">) </w:t>
      </w:r>
      <w:r w:rsidRPr="00E10FDE">
        <w:rPr>
          <w:rFonts w:ascii="Arial" w:eastAsia="Times New Roman" w:hAnsi="Arial" w:cs="Arial"/>
          <w:b/>
          <w:sz w:val="22"/>
          <w:szCs w:val="22"/>
          <w:lang w:val="en"/>
        </w:rPr>
        <w:t>:</w:t>
      </w:r>
      <w:r w:rsidRPr="00E10FDE">
        <w:rPr>
          <w:rFonts w:ascii="Arial" w:eastAsia="Times New Roman" w:hAnsi="Arial" w:cs="Arial"/>
          <w:sz w:val="22"/>
          <w:szCs w:val="22"/>
          <w:lang w:val="en"/>
        </w:rPr>
        <w:t xml:space="preserve"> </w:t>
      </w:r>
      <w:r w:rsidR="00E10FDE" w:rsidRPr="00E10FDE">
        <w:rPr>
          <w:rFonts w:ascii="Arial" w:eastAsia="Times New Roman" w:hAnsi="Arial" w:cs="Arial"/>
          <w:sz w:val="22"/>
          <w:szCs w:val="22"/>
          <w:lang w:val="en"/>
        </w:rPr>
        <w:t>Unilater</w:t>
      </w:r>
      <w:r w:rsidR="003F7F99">
        <w:rPr>
          <w:rFonts w:ascii="Arial" w:eastAsia="Times New Roman" w:hAnsi="Arial" w:cs="Arial"/>
          <w:sz w:val="22"/>
          <w:szCs w:val="22"/>
          <w:lang w:val="en"/>
        </w:rPr>
        <w:t>al cochlear implant, Severe/ profound</w:t>
      </w:r>
      <w:r w:rsidR="00E10FDE" w:rsidRPr="00E10FDE">
        <w:rPr>
          <w:rFonts w:ascii="Arial" w:eastAsia="Times New Roman" w:hAnsi="Arial" w:cs="Arial"/>
          <w:sz w:val="22"/>
          <w:szCs w:val="22"/>
          <w:lang w:val="en"/>
        </w:rPr>
        <w:t xml:space="preserve"> </w:t>
      </w:r>
      <w:proofErr w:type="spellStart"/>
      <w:r w:rsidR="00E10FDE" w:rsidRPr="00E10FDE">
        <w:rPr>
          <w:rFonts w:ascii="Arial" w:eastAsia="Times New Roman" w:hAnsi="Arial" w:cs="Arial"/>
          <w:sz w:val="22"/>
          <w:szCs w:val="22"/>
          <w:lang w:val="en"/>
        </w:rPr>
        <w:t>sensorineural</w:t>
      </w:r>
      <w:proofErr w:type="spellEnd"/>
      <w:r w:rsidR="00E10FDE" w:rsidRPr="00E10FDE">
        <w:rPr>
          <w:rFonts w:ascii="Arial" w:eastAsia="Times New Roman" w:hAnsi="Arial" w:cs="Arial"/>
          <w:sz w:val="22"/>
          <w:szCs w:val="22"/>
          <w:lang w:val="en"/>
        </w:rPr>
        <w:t xml:space="preserve"> </w:t>
      </w:r>
      <w:r w:rsidR="003F7F99" w:rsidRPr="003F7F99">
        <w:rPr>
          <w:rFonts w:ascii="Arial" w:eastAsia="Times New Roman" w:hAnsi="Arial" w:cs="Arial"/>
          <w:sz w:val="22"/>
          <w:szCs w:val="22"/>
          <w:lang w:val="en"/>
        </w:rPr>
        <w:t>deafness</w:t>
      </w:r>
      <w:r w:rsidR="00E10FDE" w:rsidRPr="00E10FDE">
        <w:rPr>
          <w:rFonts w:ascii="Arial" w:eastAsia="Times New Roman" w:hAnsi="Arial" w:cs="Arial"/>
          <w:sz w:val="22"/>
          <w:szCs w:val="22"/>
          <w:lang w:val="en"/>
        </w:rPr>
        <w:t>, Older adult, pure tone average, language discrimination</w:t>
      </w:r>
      <w:r w:rsidR="00E10FDE">
        <w:rPr>
          <w:rFonts w:ascii="Arial" w:eastAsia="Times New Roman" w:hAnsi="Arial" w:cs="Arial"/>
          <w:sz w:val="22"/>
          <w:szCs w:val="22"/>
          <w:lang w:val="en"/>
        </w:rPr>
        <w:t xml:space="preserve">. </w:t>
      </w:r>
    </w:p>
    <w:p w14:paraId="755C082E" w14:textId="77777777" w:rsidR="00E50C09" w:rsidRPr="00E50C09" w:rsidRDefault="00E50C09" w:rsidP="00E50C09">
      <w:pPr>
        <w:pStyle w:val="Ttulo1"/>
        <w:rPr>
          <w:rFonts w:ascii="Arial" w:hAnsi="Arial" w:cs="Arial"/>
          <w:color w:val="auto"/>
          <w:sz w:val="24"/>
          <w:szCs w:val="24"/>
        </w:rPr>
      </w:pPr>
      <w:r w:rsidRPr="00E50C09">
        <w:rPr>
          <w:rFonts w:ascii="Arial" w:hAnsi="Arial" w:cs="Arial"/>
          <w:color w:val="auto"/>
          <w:sz w:val="24"/>
          <w:szCs w:val="24"/>
        </w:rPr>
        <w:t>Introducción</w:t>
      </w:r>
    </w:p>
    <w:p w14:paraId="353983E0" w14:textId="77777777" w:rsidR="00E50C09" w:rsidRPr="00E50C09" w:rsidRDefault="00E50C09" w:rsidP="00E50C09"/>
    <w:p w14:paraId="66B2CC03" w14:textId="77777777" w:rsidR="00E50C09" w:rsidRDefault="00E50C09" w:rsidP="00E50C09">
      <w:pPr>
        <w:jc w:val="both"/>
        <w:rPr>
          <w:rFonts w:ascii="Arial" w:hAnsi="Arial" w:cs="Arial"/>
          <w:lang w:val="es-ES"/>
        </w:rPr>
      </w:pPr>
      <w:r w:rsidRPr="00E50C09">
        <w:rPr>
          <w:rFonts w:ascii="Arial" w:hAnsi="Arial" w:cs="Arial"/>
          <w:lang w:val="es-ES"/>
        </w:rPr>
        <w:t>Existe gran variedad de definiciones respecto a la pérdida de audición en la literatura internacional.</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"author" : [ { "dropping-particle" : "", "family" : "Mathers", "given" : "Colin", "non-dropping-particle" : "", "parse-names" : false, "suffix" : "" }, { "dropping-particle" : "", "family" : "Smith", "given" : "Andrew", "non-dropping-particle" : "", "parse-names" : false, "suffix" : "" }, { "dropping-particle" : "", "family" : "Concha", "given" : "Marisol", "non-dropping-particle" : "", "parse-names" : false, "suffix" : "" } ], "container-title" : "world health organization", "id" : "ITEM-1", "issued" : { "date-parts" : [ [ "2000" ] ] }, "number-of-pages" : "1-30", "publisher-place" : "Geneve", "title" : "Global burden of hearing loss in the year 2000", "type" : "book" }, "uris" : [ "http://www.mendeley.com/documents/?uuid=41a76d7f-748a-453c-b55b-2c8a8ecf2076", "http://www.mendeley.com/documents/?uuid=644838aa-bc75-4cda-88f0-23f713e73910" ] } ], "mendeley" : { "formattedCitation" : "&lt;sup&gt;1&lt;/sup&gt;", "plainTextFormattedCitation" : "1", "previouslyFormattedCitation" : "&lt;sup&gt;1&lt;/sup&gt;"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w:t>
      </w:r>
      <w:r w:rsidRPr="00E50C09">
        <w:rPr>
          <w:rFonts w:ascii="Arial" w:hAnsi="Arial" w:cs="Arial"/>
          <w:lang w:val="es-ES"/>
        </w:rPr>
        <w:fldChar w:fldCharType="end"/>
      </w:r>
      <w:r w:rsidRPr="00E50C09">
        <w:rPr>
          <w:rFonts w:ascii="Arial" w:hAnsi="Arial" w:cs="Arial"/>
          <w:lang w:val="es-ES"/>
        </w:rPr>
        <w:t xml:space="preserve">Sin embargo, la clasificación más ampliamente usada es la clasificación propuesta por la OMS que se basa en la hipoacusia según el tono puro promedio percibido del mejor oído. Las categorías varían entre, sin compromiso hasta compromiso profundo. La clasificación requiere de un análisis por medio de una audiometría según los resultados para el mejor oído evaluado en cuatro frecuencias 0,5, 1, 2, y 4 kHz. </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"author" : [ { "dropping-particle" : "", "family" : "Mathers", "given" : "Colin", "non-dropping-particle" : "", "parse-names" : false, "suffix" : "" }, { "dropping-particle" : "", "family" : "Smith", "given" : "Andrew", "non-dropping-particle" : "", "parse-names" : false, "suffix" : "" }, { "dropping-particle" : "", "family" : "Concha", "given" : "Marisol", "non-dropping-particle" : "", "parse-names" : false, "suffix" : "" } ], "container-title" : "world health organization", "id" : "ITEM-1", "issued" : { "date-parts" : [ [ "2000" ] ] }, "number-of-pages" : "1-30", "publisher-place" : "Geneve", "title" : "Global burden of hearing loss in the year 2000", "type" : "book" }, "uris" : [ "http://www.mendeley.com/documents/?uuid=41a76d7f-748a-453c-b55b-2c8a8ecf2076", "http://www.mendeley.com/documents/?uuid=644838aa-bc75-4cda-88f0-23f713e73910" ] } ], "mendeley" : { "formattedCitation" : "&lt;sup&gt;1&lt;/sup&gt;", "plainTextFormattedCitation" : "1", "previouslyFormattedCitation" : "&lt;sup&gt;1&lt;/sup&gt;"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w:t>
      </w:r>
      <w:r w:rsidRPr="00E50C09">
        <w:rPr>
          <w:rFonts w:ascii="Arial" w:hAnsi="Arial" w:cs="Arial"/>
          <w:lang w:val="es-ES"/>
        </w:rPr>
        <w:fldChar w:fldCharType="end"/>
      </w:r>
    </w:p>
    <w:p w14:paraId="063A4070" w14:textId="77777777" w:rsidR="00E50C09" w:rsidRPr="00E50C09" w:rsidRDefault="00E50C09" w:rsidP="00E50C09">
      <w:pPr>
        <w:jc w:val="both"/>
        <w:rPr>
          <w:rFonts w:ascii="Arial" w:hAnsi="Arial" w:cs="Arial"/>
          <w:lang w:val="es-ES"/>
        </w:rPr>
      </w:pPr>
    </w:p>
    <w:p w14:paraId="7449804E" w14:textId="04718F27" w:rsidR="00E50C09" w:rsidRDefault="00E50C09" w:rsidP="00E50C09">
      <w:pPr>
        <w:jc w:val="center"/>
        <w:rPr>
          <w:rFonts w:ascii="Arial" w:hAnsi="Arial" w:cs="Arial"/>
          <w:b/>
          <w:i/>
          <w:lang w:val="es-ES"/>
        </w:rPr>
      </w:pPr>
      <w:r w:rsidRPr="00E50C09">
        <w:rPr>
          <w:rFonts w:ascii="Arial" w:hAnsi="Arial" w:cs="Arial"/>
          <w:b/>
          <w:i/>
          <w:lang w:val="es-ES"/>
        </w:rPr>
        <w:t>Tabla 1. Grados de compromiso auditivo OMS.</w:t>
      </w:r>
    </w:p>
    <w:p w14:paraId="138D7B5A" w14:textId="77777777" w:rsidR="00E50C09" w:rsidRPr="00E50C09" w:rsidRDefault="00E50C09" w:rsidP="00E50C09">
      <w:pPr>
        <w:jc w:val="center"/>
        <w:rPr>
          <w:rFonts w:ascii="Arial" w:hAnsi="Arial" w:cs="Arial"/>
          <w:b/>
          <w:i/>
          <w:lang w:val="es-ES"/>
        </w:rPr>
      </w:pPr>
    </w:p>
    <w:tbl>
      <w:tblPr>
        <w:tblStyle w:val="GridTable3-Accent11"/>
        <w:tblW w:w="8782" w:type="dxa"/>
        <w:jc w:val="center"/>
        <w:tblLook w:val="04A0" w:firstRow="1" w:lastRow="0" w:firstColumn="1" w:lastColumn="0" w:noHBand="0" w:noVBand="1"/>
      </w:tblPr>
      <w:tblGrid>
        <w:gridCol w:w="2821"/>
        <w:gridCol w:w="1723"/>
        <w:gridCol w:w="4238"/>
      </w:tblGrid>
      <w:tr w:rsidR="00E50C09" w:rsidRPr="00E50C09" w14:paraId="6ECE09E8" w14:textId="77777777" w:rsidTr="00E50C09">
        <w:trPr>
          <w:cnfStyle w:val="100000000000" w:firstRow="1" w:lastRow="0" w:firstColumn="0" w:lastColumn="0" w:oddVBand="0" w:evenVBand="0" w:oddHBand="0" w:evenHBand="0" w:firstRowFirstColumn="0" w:firstRowLastColumn="0" w:lastRowFirstColumn="0" w:lastRowLastColumn="0"/>
          <w:trHeight w:val="862"/>
          <w:jc w:val="center"/>
        </w:trPr>
        <w:tc>
          <w:tcPr>
            <w:cnfStyle w:val="001000000100" w:firstRow="0" w:lastRow="0" w:firstColumn="1" w:lastColumn="0" w:oddVBand="0" w:evenVBand="0" w:oddHBand="0" w:evenHBand="0" w:firstRowFirstColumn="1" w:firstRowLastColumn="0" w:lastRowFirstColumn="0" w:lastRowLastColumn="0"/>
            <w:tcW w:w="2828" w:type="dxa"/>
          </w:tcPr>
          <w:p w14:paraId="42CC1BC9" w14:textId="77777777" w:rsidR="00E50C09" w:rsidRPr="00E50C09" w:rsidRDefault="00E50C09" w:rsidP="00E50C09">
            <w:pPr>
              <w:jc w:val="center"/>
              <w:rPr>
                <w:rFonts w:ascii="Arial" w:hAnsi="Arial" w:cs="Arial"/>
                <w:lang w:val="es-ES"/>
              </w:rPr>
            </w:pPr>
            <w:r w:rsidRPr="00E50C09">
              <w:rPr>
                <w:rFonts w:ascii="Arial" w:hAnsi="Arial" w:cs="Arial"/>
                <w:lang w:val="es-ES"/>
              </w:rPr>
              <w:t>Grado de compromiso</w:t>
            </w:r>
          </w:p>
        </w:tc>
        <w:tc>
          <w:tcPr>
            <w:tcW w:w="1701" w:type="dxa"/>
          </w:tcPr>
          <w:p w14:paraId="2B52B3C8" w14:textId="77777777" w:rsidR="00E50C09" w:rsidRPr="00E50C09" w:rsidRDefault="00E50C09" w:rsidP="00E50C0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sidRPr="00E50C09">
              <w:rPr>
                <w:rFonts w:ascii="Arial" w:hAnsi="Arial" w:cs="Arial"/>
                <w:lang w:val="es-ES"/>
              </w:rPr>
              <w:t xml:space="preserve">Valor </w:t>
            </w:r>
            <w:proofErr w:type="spellStart"/>
            <w:r w:rsidRPr="00E50C09">
              <w:rPr>
                <w:rFonts w:ascii="Arial" w:hAnsi="Arial" w:cs="Arial"/>
                <w:lang w:val="es-ES"/>
              </w:rPr>
              <w:t>audiométrico</w:t>
            </w:r>
            <w:proofErr w:type="spellEnd"/>
          </w:p>
        </w:tc>
        <w:tc>
          <w:tcPr>
            <w:tcW w:w="4253" w:type="dxa"/>
          </w:tcPr>
          <w:p w14:paraId="1EC7B741" w14:textId="77777777" w:rsidR="00E50C09" w:rsidRPr="00E50C09" w:rsidRDefault="00E50C09" w:rsidP="00E50C09">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sidRPr="00E50C09">
              <w:rPr>
                <w:rFonts w:ascii="Arial" w:hAnsi="Arial" w:cs="Arial"/>
                <w:lang w:val="es-ES"/>
              </w:rPr>
              <w:t>Descripción del compromiso</w:t>
            </w:r>
          </w:p>
        </w:tc>
      </w:tr>
      <w:tr w:rsidR="00E50C09" w:rsidRPr="00E50C09" w14:paraId="7744D8F3" w14:textId="77777777" w:rsidTr="00E50C09">
        <w:trPr>
          <w:cnfStyle w:val="000000100000" w:firstRow="0" w:lastRow="0" w:firstColumn="0" w:lastColumn="0" w:oddVBand="0" w:evenVBand="0" w:oddHBand="1" w:evenHBand="0" w:firstRowFirstColumn="0" w:firstRowLastColumn="0" w:lastRowFirstColumn="0" w:lastRowLastColumn="0"/>
          <w:trHeight w:val="893"/>
          <w:jc w:val="center"/>
        </w:trPr>
        <w:tc>
          <w:tcPr>
            <w:cnfStyle w:val="001000000000" w:firstRow="0" w:lastRow="0" w:firstColumn="1" w:lastColumn="0" w:oddVBand="0" w:evenVBand="0" w:oddHBand="0" w:evenHBand="0" w:firstRowFirstColumn="0" w:firstRowLastColumn="0" w:lastRowFirstColumn="0" w:lastRowLastColumn="0"/>
            <w:tcW w:w="2828" w:type="dxa"/>
          </w:tcPr>
          <w:p w14:paraId="715F0C8E" w14:textId="77777777" w:rsidR="00E50C09" w:rsidRPr="00E50C09" w:rsidRDefault="00E50C09" w:rsidP="00E50C09">
            <w:pPr>
              <w:jc w:val="left"/>
              <w:rPr>
                <w:rFonts w:ascii="Arial" w:hAnsi="Arial" w:cs="Arial"/>
                <w:lang w:val="es-ES"/>
              </w:rPr>
            </w:pPr>
            <w:r w:rsidRPr="00E50C09">
              <w:rPr>
                <w:rFonts w:ascii="Arial" w:hAnsi="Arial" w:cs="Arial"/>
                <w:lang w:val="es-ES"/>
              </w:rPr>
              <w:t>0 (sin compromiso)</w:t>
            </w:r>
          </w:p>
        </w:tc>
        <w:tc>
          <w:tcPr>
            <w:tcW w:w="1701" w:type="dxa"/>
            <w:vAlign w:val="center"/>
          </w:tcPr>
          <w:p w14:paraId="6671866A" w14:textId="77777777" w:rsidR="00E50C09" w:rsidRPr="00E50C09" w:rsidRDefault="00E50C09" w:rsidP="00E50C0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25 dB o menos</w:t>
            </w:r>
          </w:p>
        </w:tc>
        <w:tc>
          <w:tcPr>
            <w:tcW w:w="4253" w:type="dxa"/>
          </w:tcPr>
          <w:p w14:paraId="2C3E80D4" w14:textId="77777777" w:rsidR="00E50C09" w:rsidRPr="00E50C09" w:rsidRDefault="00E50C09" w:rsidP="00E50C0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 xml:space="preserve">Sin problemas de audición o leves. </w:t>
            </w:r>
          </w:p>
          <w:p w14:paraId="74E10334" w14:textId="77777777" w:rsidR="00E50C09" w:rsidRPr="00E50C09" w:rsidRDefault="00E50C09" w:rsidP="00E50C0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Capaz de escuchas susurros</w:t>
            </w:r>
          </w:p>
        </w:tc>
      </w:tr>
      <w:tr w:rsidR="00E50C09" w:rsidRPr="00E50C09" w14:paraId="0E74A35F" w14:textId="77777777" w:rsidTr="00E50C09">
        <w:trPr>
          <w:trHeight w:val="991"/>
          <w:jc w:val="center"/>
        </w:trPr>
        <w:tc>
          <w:tcPr>
            <w:cnfStyle w:val="001000000000" w:firstRow="0" w:lastRow="0" w:firstColumn="1" w:lastColumn="0" w:oddVBand="0" w:evenVBand="0" w:oddHBand="0" w:evenHBand="0" w:firstRowFirstColumn="0" w:firstRowLastColumn="0" w:lastRowFirstColumn="0" w:lastRowLastColumn="0"/>
            <w:tcW w:w="2828" w:type="dxa"/>
          </w:tcPr>
          <w:p w14:paraId="2743D43F" w14:textId="77777777" w:rsidR="00E50C09" w:rsidRPr="00E50C09" w:rsidRDefault="00E50C09" w:rsidP="00E50C09">
            <w:pPr>
              <w:jc w:val="left"/>
              <w:rPr>
                <w:rFonts w:ascii="Arial" w:hAnsi="Arial" w:cs="Arial"/>
                <w:lang w:val="es-ES"/>
              </w:rPr>
            </w:pPr>
            <w:r w:rsidRPr="00E50C09">
              <w:rPr>
                <w:rFonts w:ascii="Arial" w:hAnsi="Arial" w:cs="Arial"/>
                <w:lang w:val="es-ES"/>
              </w:rPr>
              <w:t>1 (compromiso leve)</w:t>
            </w:r>
          </w:p>
        </w:tc>
        <w:tc>
          <w:tcPr>
            <w:tcW w:w="1701" w:type="dxa"/>
            <w:vAlign w:val="center"/>
          </w:tcPr>
          <w:p w14:paraId="70323300" w14:textId="77777777" w:rsidR="00E50C09" w:rsidRPr="00E50C09" w:rsidRDefault="00E50C09" w:rsidP="00E50C0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E50C09">
              <w:rPr>
                <w:rFonts w:ascii="Arial" w:hAnsi="Arial" w:cs="Arial"/>
                <w:lang w:val="es-ES"/>
              </w:rPr>
              <w:t>26-40 dB</w:t>
            </w:r>
          </w:p>
        </w:tc>
        <w:tc>
          <w:tcPr>
            <w:tcW w:w="4253" w:type="dxa"/>
          </w:tcPr>
          <w:p w14:paraId="50DB7718" w14:textId="77777777" w:rsidR="00E50C09" w:rsidRPr="00E50C09" w:rsidRDefault="00E50C09" w:rsidP="00E50C0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E50C09">
              <w:rPr>
                <w:rFonts w:ascii="Arial" w:hAnsi="Arial" w:cs="Arial"/>
                <w:lang w:val="es-ES"/>
              </w:rPr>
              <w:t>Capaz de escuchar y repetir palabras habladas con voz normal a un metro</w:t>
            </w:r>
          </w:p>
        </w:tc>
      </w:tr>
      <w:tr w:rsidR="00E50C09" w:rsidRPr="00E50C09" w14:paraId="3B581F43" w14:textId="77777777" w:rsidTr="00E50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2BAC2A36" w14:textId="77777777" w:rsidR="00E50C09" w:rsidRPr="00E50C09" w:rsidRDefault="00E50C09" w:rsidP="00E50C09">
            <w:pPr>
              <w:jc w:val="left"/>
              <w:rPr>
                <w:rFonts w:ascii="Arial" w:hAnsi="Arial" w:cs="Arial"/>
                <w:lang w:val="es-ES"/>
              </w:rPr>
            </w:pPr>
            <w:r w:rsidRPr="00E50C09">
              <w:rPr>
                <w:rFonts w:ascii="Arial" w:hAnsi="Arial" w:cs="Arial"/>
                <w:lang w:val="es-ES"/>
              </w:rPr>
              <w:t>2 (compromiso moderado)</w:t>
            </w:r>
          </w:p>
        </w:tc>
        <w:tc>
          <w:tcPr>
            <w:tcW w:w="1701" w:type="dxa"/>
            <w:vAlign w:val="center"/>
          </w:tcPr>
          <w:p w14:paraId="06DC2406" w14:textId="77777777" w:rsidR="00E50C09" w:rsidRPr="00E50C09" w:rsidRDefault="00E50C09" w:rsidP="00E50C0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41-60 dB</w:t>
            </w:r>
          </w:p>
        </w:tc>
        <w:tc>
          <w:tcPr>
            <w:tcW w:w="4253" w:type="dxa"/>
          </w:tcPr>
          <w:p w14:paraId="465EBBD1" w14:textId="77777777" w:rsidR="00E50C09" w:rsidRPr="00E50C09" w:rsidRDefault="00E50C09" w:rsidP="00E50C0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Capaz de escuchar y repetir palabras habladas con voz elevada a un metro</w:t>
            </w:r>
          </w:p>
        </w:tc>
      </w:tr>
      <w:tr w:rsidR="00E50C09" w:rsidRPr="00E50C09" w14:paraId="2E397EDB" w14:textId="77777777" w:rsidTr="00E50C09">
        <w:trPr>
          <w:jc w:val="center"/>
        </w:trPr>
        <w:tc>
          <w:tcPr>
            <w:cnfStyle w:val="001000000000" w:firstRow="0" w:lastRow="0" w:firstColumn="1" w:lastColumn="0" w:oddVBand="0" w:evenVBand="0" w:oddHBand="0" w:evenHBand="0" w:firstRowFirstColumn="0" w:firstRowLastColumn="0" w:lastRowFirstColumn="0" w:lastRowLastColumn="0"/>
            <w:tcW w:w="2828" w:type="dxa"/>
          </w:tcPr>
          <w:p w14:paraId="3EB41B1E" w14:textId="77777777" w:rsidR="00E50C09" w:rsidRPr="00E50C09" w:rsidRDefault="00E50C09" w:rsidP="00E50C09">
            <w:pPr>
              <w:jc w:val="left"/>
              <w:rPr>
                <w:rFonts w:ascii="Arial" w:hAnsi="Arial" w:cs="Arial"/>
                <w:lang w:val="es-ES"/>
              </w:rPr>
            </w:pPr>
            <w:r w:rsidRPr="00E50C09">
              <w:rPr>
                <w:rFonts w:ascii="Arial" w:hAnsi="Arial" w:cs="Arial"/>
                <w:lang w:val="es-ES"/>
              </w:rPr>
              <w:t>3 (compromiso severo)</w:t>
            </w:r>
          </w:p>
        </w:tc>
        <w:tc>
          <w:tcPr>
            <w:tcW w:w="1701" w:type="dxa"/>
            <w:vAlign w:val="center"/>
          </w:tcPr>
          <w:p w14:paraId="1E811635" w14:textId="77777777" w:rsidR="00E50C09" w:rsidRPr="00E50C09" w:rsidRDefault="00E50C09" w:rsidP="00E50C0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E50C09">
              <w:rPr>
                <w:rFonts w:ascii="Arial" w:hAnsi="Arial" w:cs="Arial"/>
                <w:lang w:val="es-ES"/>
              </w:rPr>
              <w:t>61-80 dB</w:t>
            </w:r>
          </w:p>
        </w:tc>
        <w:tc>
          <w:tcPr>
            <w:tcW w:w="4253" w:type="dxa"/>
          </w:tcPr>
          <w:p w14:paraId="593DAD98" w14:textId="77777777" w:rsidR="00E50C09" w:rsidRPr="00E50C09" w:rsidRDefault="00E50C09" w:rsidP="00E50C0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E50C09">
              <w:rPr>
                <w:rFonts w:ascii="Arial" w:hAnsi="Arial" w:cs="Arial"/>
                <w:lang w:val="es-ES"/>
              </w:rPr>
              <w:t>Capa de escuchar algunas palabras cuando son gritadas en el mejor oído</w:t>
            </w:r>
          </w:p>
        </w:tc>
      </w:tr>
      <w:tr w:rsidR="00E50C09" w:rsidRPr="00E50C09" w14:paraId="56F5B581" w14:textId="77777777" w:rsidTr="00E50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6EC45AD7" w14:textId="77777777" w:rsidR="00E50C09" w:rsidRPr="00E50C09" w:rsidRDefault="00E50C09" w:rsidP="00E50C09">
            <w:pPr>
              <w:jc w:val="left"/>
              <w:rPr>
                <w:rFonts w:ascii="Arial" w:hAnsi="Arial" w:cs="Arial"/>
                <w:lang w:val="es-ES"/>
              </w:rPr>
            </w:pPr>
            <w:r w:rsidRPr="00E50C09">
              <w:rPr>
                <w:rFonts w:ascii="Arial" w:hAnsi="Arial" w:cs="Arial"/>
                <w:lang w:val="es-ES"/>
              </w:rPr>
              <w:t>4 (compromiso profundo incluyendo sordera)</w:t>
            </w:r>
          </w:p>
        </w:tc>
        <w:tc>
          <w:tcPr>
            <w:tcW w:w="1701" w:type="dxa"/>
            <w:vAlign w:val="center"/>
          </w:tcPr>
          <w:p w14:paraId="7DDDEEA6" w14:textId="77777777" w:rsidR="00E50C09" w:rsidRPr="00E50C09" w:rsidRDefault="00E50C09" w:rsidP="00E50C0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81 dB o mas</w:t>
            </w:r>
          </w:p>
        </w:tc>
        <w:tc>
          <w:tcPr>
            <w:tcW w:w="4253" w:type="dxa"/>
          </w:tcPr>
          <w:p w14:paraId="461962F2" w14:textId="77777777" w:rsidR="00E50C09" w:rsidRPr="00E50C09" w:rsidRDefault="00E50C09" w:rsidP="00E50C0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E50C09">
              <w:rPr>
                <w:rFonts w:ascii="Arial" w:hAnsi="Arial" w:cs="Arial"/>
                <w:lang w:val="es-ES"/>
              </w:rPr>
              <w:t>Incapaz de escuchar o entender incluso un grito</w:t>
            </w:r>
          </w:p>
        </w:tc>
      </w:tr>
    </w:tbl>
    <w:p w14:paraId="2B40FCAB" w14:textId="77777777" w:rsidR="00E50C09" w:rsidRPr="003F2AD8" w:rsidRDefault="00E50C09" w:rsidP="00E50C09">
      <w:pPr>
        <w:ind w:firstLine="708"/>
        <w:rPr>
          <w:rFonts w:ascii="Arial" w:hAnsi="Arial" w:cs="Arial"/>
          <w:lang w:val="en-US"/>
        </w:rPr>
      </w:pPr>
      <w:proofErr w:type="gramStart"/>
      <w:r w:rsidRPr="003F2AD8">
        <w:rPr>
          <w:rFonts w:ascii="Arial" w:hAnsi="Arial" w:cs="Arial"/>
          <w:lang w:val="en-US"/>
        </w:rPr>
        <w:t>dB</w:t>
      </w:r>
      <w:proofErr w:type="gramEnd"/>
      <w:r w:rsidRPr="003F2AD8">
        <w:rPr>
          <w:rFonts w:ascii="Arial" w:hAnsi="Arial" w:cs="Arial"/>
          <w:lang w:val="en-US"/>
        </w:rPr>
        <w:t xml:space="preserve">: </w:t>
      </w:r>
      <w:proofErr w:type="spellStart"/>
      <w:r w:rsidRPr="003F2AD8">
        <w:rPr>
          <w:rFonts w:ascii="Arial" w:hAnsi="Arial" w:cs="Arial"/>
          <w:lang w:val="en-US"/>
        </w:rPr>
        <w:t>decibeles</w:t>
      </w:r>
      <w:proofErr w:type="spellEnd"/>
      <w:r w:rsidRPr="003F2AD8">
        <w:rPr>
          <w:rFonts w:ascii="Arial" w:hAnsi="Arial" w:cs="Arial"/>
          <w:lang w:val="en-US"/>
        </w:rPr>
        <w:t>.</w:t>
      </w:r>
    </w:p>
    <w:p w14:paraId="6CA8026A" w14:textId="77777777" w:rsidR="00E50C09" w:rsidRPr="003F2AD8" w:rsidRDefault="00E50C09" w:rsidP="00E50C09">
      <w:pPr>
        <w:jc w:val="both"/>
        <w:rPr>
          <w:rFonts w:ascii="Arial" w:hAnsi="Arial" w:cs="Arial"/>
          <w:lang w:val="en-US"/>
        </w:rPr>
      </w:pPr>
    </w:p>
    <w:p w14:paraId="0048122C" w14:textId="67EDDFDF" w:rsidR="006C4FC2" w:rsidRDefault="006C4FC2" w:rsidP="006C4FC2">
      <w:pPr>
        <w:jc w:val="center"/>
        <w:rPr>
          <w:rFonts w:ascii="Arial" w:eastAsia="Times New Roman" w:hAnsi="Arial" w:cs="Arial"/>
          <w:i/>
          <w:noProof/>
          <w:sz w:val="22"/>
          <w:szCs w:val="22"/>
        </w:rPr>
      </w:pPr>
      <w:proofErr w:type="spellStart"/>
      <w:r w:rsidRPr="003F2AD8">
        <w:rPr>
          <w:rFonts w:ascii="Arial" w:hAnsi="Arial" w:cs="Arial"/>
          <w:i/>
          <w:sz w:val="22"/>
          <w:szCs w:val="22"/>
          <w:lang w:val="en-US"/>
        </w:rPr>
        <w:t>Tomado</w:t>
      </w:r>
      <w:proofErr w:type="spellEnd"/>
      <w:r w:rsidRPr="003F2AD8">
        <w:rPr>
          <w:rFonts w:ascii="Arial" w:hAnsi="Arial" w:cs="Arial"/>
          <w:i/>
          <w:sz w:val="22"/>
          <w:szCs w:val="22"/>
          <w:lang w:val="en-US"/>
        </w:rPr>
        <w:t xml:space="preserve"> de: </w:t>
      </w:r>
      <w:r w:rsidRPr="003F2AD8">
        <w:rPr>
          <w:rFonts w:ascii="Arial" w:eastAsia="Times New Roman" w:hAnsi="Arial" w:cs="Arial"/>
          <w:i/>
          <w:noProof/>
          <w:sz w:val="22"/>
          <w:szCs w:val="22"/>
          <w:lang w:val="en-US"/>
        </w:rPr>
        <w:t xml:space="preserve">Mathers C, Smith A, Concha M. Global burden of hearing loss in the year 2000. world health organization. </w:t>
      </w:r>
      <w:r w:rsidRPr="00051C2B">
        <w:rPr>
          <w:rFonts w:ascii="Arial" w:eastAsia="Times New Roman" w:hAnsi="Arial" w:cs="Arial"/>
          <w:i/>
          <w:noProof/>
          <w:sz w:val="22"/>
          <w:szCs w:val="22"/>
        </w:rPr>
        <w:t>Geneve; 2000. 1-30 p</w:t>
      </w:r>
    </w:p>
    <w:p w14:paraId="2BB26F91" w14:textId="77777777" w:rsidR="006C4FC2" w:rsidRDefault="006C4FC2" w:rsidP="00E50C09">
      <w:pPr>
        <w:jc w:val="both"/>
        <w:rPr>
          <w:rFonts w:ascii="Arial" w:hAnsi="Arial" w:cs="Arial"/>
          <w:lang w:val="es-ES"/>
        </w:rPr>
      </w:pPr>
    </w:p>
    <w:p w14:paraId="7729E7B0" w14:textId="77777777" w:rsidR="00E50C09" w:rsidRPr="00E50C09" w:rsidRDefault="00E50C09" w:rsidP="00E50C09">
      <w:pPr>
        <w:jc w:val="both"/>
        <w:rPr>
          <w:rFonts w:ascii="Arial" w:hAnsi="Arial" w:cs="Arial"/>
          <w:lang w:val="es-ES"/>
        </w:rPr>
      </w:pPr>
      <w:r w:rsidRPr="00E50C09">
        <w:rPr>
          <w:rFonts w:ascii="Arial" w:hAnsi="Arial" w:cs="Arial"/>
          <w:lang w:val="es-ES"/>
        </w:rPr>
        <w:t xml:space="preserve">Una hipoacusia severa se define como la pérdida auditiva mayor a 60 dB en el mejor oído para la población adulta (mayores a 15 años). </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"10.1002/2014GB005021", "ISBN" : "9781617796029", "URL" : "http://www.who.int/pbd/deafness/WHO_GE_HL.pdf?ua=1", "abstract" : "Statistik \u00fcber Zahl der einschr\u00e4nkenden H\u00f6rbehinderungen weltweit", "accessed" : { "date-parts" : [ [ "2017", "5", "15" ] ] }, "author" : [ { "dropping-particle" : "", "family" : "World Health Organization", "given" : "", "non-dropping-particle" : "", "parse-names" : false, "suffix" : "" } ], "id" : "ITEM-1", "issued" : { "date-parts" : [ [ "2012" ] ] }, "page" : "1-15", "title" : "WHO global estimates on prevalence of hearing loss", "type" : "webpage" }, "uris" : [ "http://www.mendeley.com/documents/?uuid=55af457a-352c-4688-9c87-5ce7c5e23819" ] } ], "mendeley" : { "formattedCitation" : "&lt;sup&gt;2&lt;/sup&gt;", "plainTextFormattedCitation" : "2", "previouslyFormattedCitation" : "&lt;sup&gt;2&lt;/sup&gt;"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2</w:t>
      </w:r>
      <w:r w:rsidRPr="00E50C09">
        <w:rPr>
          <w:rFonts w:ascii="Arial" w:hAnsi="Arial" w:cs="Arial"/>
          <w:lang w:val="es-ES"/>
        </w:rPr>
        <w:fldChar w:fldCharType="end"/>
      </w:r>
    </w:p>
    <w:p w14:paraId="1DAA344A" w14:textId="77777777" w:rsidR="00E50C09" w:rsidRPr="00E50C09" w:rsidRDefault="00E50C09" w:rsidP="00E50C09">
      <w:pPr>
        <w:jc w:val="both"/>
        <w:rPr>
          <w:rFonts w:ascii="Arial" w:hAnsi="Arial" w:cs="Arial"/>
          <w:lang w:val="es-ES"/>
        </w:rPr>
      </w:pPr>
    </w:p>
    <w:p w14:paraId="25A4BD59" w14:textId="77777777" w:rsidR="00E50C09" w:rsidRPr="00E50C09" w:rsidRDefault="00E50C09" w:rsidP="00E50C09">
      <w:pPr>
        <w:jc w:val="both"/>
        <w:rPr>
          <w:rFonts w:ascii="Arial" w:hAnsi="Arial" w:cs="Arial"/>
          <w:lang w:val="es-ES"/>
        </w:rPr>
      </w:pPr>
      <w:r w:rsidRPr="00E50C09">
        <w:rPr>
          <w:rFonts w:ascii="Arial" w:hAnsi="Arial" w:cs="Arial"/>
          <w:lang w:val="es-ES"/>
        </w:rPr>
        <w:t>La pérdida auditiva o hipoacusia es una alteración común en la edad adulta e incapacitante. Se estima a nivel mundial un 4.5% de la población adulta –328 millones personas- tienen pérdida auditiva,</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"URL" : "http://www.who.int/mediacentre/factsheets/fs300/en/", "accessed" : { "date-parts" : [ [ "2017", "5", "15" ] ] }, "author" : [ { "dropping-particle" : "", "family" : "World Health Organization", "given" : "", "non-dropping-particle" : "", "parse-names" : false, "suffix" : "" } ], "container-title" : "Fact Sheet", "id" : "ITEM-1", "issued" : { "date-parts" : [ [ "2017" ] ] }, "title" : "Deafness and hearing loss", "type" : "webpage" }, "uris" : [ "http://www.mendeley.com/documents/?uuid=fd8125fd-5d16-457f-bab6-6780d88c6158" ] } ], "mendeley" : { "formattedCitation" : "&lt;sup&gt;3&lt;/sup&gt;", "plainTextFormattedCitation" : "3", "previouslyFormattedCitation" : "&lt;sup&gt;3&lt;/sup&gt;"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3</w:t>
      </w:r>
      <w:r w:rsidRPr="00E50C09">
        <w:rPr>
          <w:rFonts w:ascii="Arial" w:hAnsi="Arial" w:cs="Arial"/>
          <w:lang w:val="es-ES"/>
        </w:rPr>
        <w:fldChar w:fldCharType="end"/>
      </w:r>
      <w:r w:rsidRPr="00E50C09">
        <w:rPr>
          <w:rFonts w:ascii="Arial" w:hAnsi="Arial" w:cs="Arial"/>
          <w:lang w:val="es-ES"/>
        </w:rPr>
        <w:t xml:space="preserve"> de estos 1/3 son &gt;65 años,</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"URL" : "http://www.who.int/pbd/deafness/news/GE_65years.pdf", "accessed" : { "date-parts" : [ [ "2017", "5", "15" ] ] }, "author" : [ { "dropping-particle" : "", "family" : "World Health Organization", "given" : "", "non-dropping-particle" : "", "parse-names" : false, "suffix" : "" } ], "container-title" : "WHO report", "id" : "ITEM-1", "issued" : { "date-parts" : [ [ "2012" ] ] }, "page" : "1-14", "title" : "Hearing loss in persons 65 years and older based on WHO global estimates on prevalence of hearing loss.", "type" : "webpage" }, "uris" : [ "http://www.mendeley.com/documents/?uuid=c02e3675-3bcd-461a-9a94-9b835641b9b0" ] }, { "id" : "ITEM-2", "itemData" : { "author" : [ { "dropping-particle" : "", "family" : "Lamb-OBE", "given" : "B", "non-dropping-particle" : "", "parse-names" : false, "suffix" : "" }, { "dropping-particle" : "De", "family" : "Raeve-PhD", "given" : "L", "non-dropping-particle" : "", "parse-names" : false, "suffix" : "" }, { "dropping-particle" : "", "family" : "Archbold-PhD", "given" : "S", "non-dropping-particle" : "", "parse-names" : false, "suffix" : "" } ], "container-title" : "Onici.Be", "id" : "ITEM-2", "issued" : { "date-parts" : [ [ "0" ] ] }, "title" : "Adult Cochlear Implantation: The Belgian experience", "type" : "article-journal" }, "uris" : [ "http://www.mendeley.com/documents/?uuid=291f38d5-2868-4dcc-b9f5-13b28966c249" ] } ], "mendeley" : { "formattedCitation" : "&lt;sup&gt;4,5&lt;/sup&gt;", "plainTextFormattedCitation" : "4,5", "previouslyFormattedCitation" : "&lt;sup&gt;4,5&lt;/sup&gt;"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4,5</w:t>
      </w:r>
      <w:r w:rsidRPr="00E50C09">
        <w:rPr>
          <w:rFonts w:ascii="Arial" w:hAnsi="Arial" w:cs="Arial"/>
          <w:lang w:val="es-ES"/>
        </w:rPr>
        <w:fldChar w:fldCharType="end"/>
      </w:r>
      <w:r w:rsidRPr="00E50C09">
        <w:rPr>
          <w:rFonts w:ascii="Arial" w:hAnsi="Arial" w:cs="Arial"/>
          <w:lang w:val="es-ES"/>
        </w:rPr>
        <w:t xml:space="preserve">  y de estos 0-6 a 1.1% tienen pérdida auditiva severa o profunda. </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"10.1186/1471-2482-13-S2-S1", "ISSN" : "1471-2482", "PMID" : "24267394", "abstract" : "BACKGROUND: At the present time, 50 to 60% of the population above 70 years of age suffers from a hearing impairment and from 0.6 to 1.1% has a severe to profound loss, which cannot benefit from an hearing aid. Moreover, it is expected that this prevalence will grow by more than two-fold in the next 40 years. There is strong evidence that hearing loss in older adults is associated with both cognitive load and social isolation, which in turn, are associated with cognitive and physical functioning. Cochlear implant (CI) dramatically improves sound audibility and speech understanding. The aim of this paper was to analyze outcome and complications of CI treatment in elderly patients.\\n\\nMETHODS: A retrospective study on 17 patients, aged at implantation between 65 and 79 years (mean = 70.47 \u00b1 3.94), unilaterally implanted for severe to profound bilateral hearing loss. The following data were statistically evaluated: pre-implant pure-tone threshold and tests of speech recognition, both with hearing aid that without; post-implant threshold and speech perception with CI off and on. Moreover, statistical correlations of PTA improvement between two age groups (65 to 70 and over 70 years) were carried out.\\n\\nRESULTS: Mean PTA improved from 111.25 (\u00b1 17.51) (pre-implant) to 43.81 (\u00b1 9.27) (post-implant); and the mean SRT improved from 90 dB to 65 dB. Moreover there was no statistical difference in PTA improvement between the two age groups (65 to 70 and over 70 years). No severe per- or post-operative surgical complications were noted.\\n\\nDISCUSSION: In the elderly, CI is a safe procedure that significantly improves hearing threshold (p &lt; 0.00001) and speech perception (p &lt; 0.01). Support of family and professionals, as well as duration of deafness and pre-implant scores greatly influence the results of rehabilitation and its perceived benefit. CI should not be denied in older individuals who are otherwise in good health.", "author" : [ { "dropping-particle" : "", "family" : "Alice", "given" : "Benatti", "non-dropping-particle" : "", "parse-names" : false, "suffix" : "" }, { "dropping-particle" : "", "family" : "Silvia", "given" : "Montino", "non-dropping-particle" : "", "parse-names" : false, "suffix" : "" }, { "dropping-particle" : "", "family" : "Laura", "given" : "Girasoli", "non-dropping-particle" : "", "parse-names" : false, "suffix" : "" }, { "dropping-particle" : "", "family" : "Patrizia", "given" : "Trevisi", "non-dropping-particle" : "", "parse-names" : false, "suffix" : "" }, { "dropping-particle" : "", "family" : "Roberto", "given" : "Bovo", "non-dropping-particle" : "", "parse-names" : false, "suffix" : "" } ], "container-title" : "BMC Surgery", "id" : "ITEM-1", "issue" : "Suppl 2", "issued" : { "date-parts" : [ [ "2013" ] ] }, "page" : "S1", "title" : "Cochlear implantation in the elderly: surgical and hearing outcomes", "type" : "article-journal", "volume" : "13" }, "uris" : [ "http://www.mendeley.com/documents/?uuid=fe79a5c9-20a3-46c9-82b7-f42faa7c7bb1" ] } ], "mendeley" : { "formattedCitation" : "&lt;sup&gt;6&lt;/sup&gt;", "plainTextFormattedCitation" : "6", "previouslyFormattedCitation" : "&lt;sup&gt;6&lt;/sup&gt;"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6</w:t>
      </w:r>
      <w:r w:rsidRPr="00E50C09">
        <w:rPr>
          <w:rFonts w:ascii="Arial" w:hAnsi="Arial" w:cs="Arial"/>
          <w:lang w:val="es-ES"/>
        </w:rPr>
        <w:fldChar w:fldCharType="end"/>
      </w:r>
      <w:r w:rsidRPr="00E50C09">
        <w:rPr>
          <w:rFonts w:ascii="Arial" w:hAnsi="Arial" w:cs="Arial"/>
          <w:lang w:val="es-ES"/>
        </w:rPr>
        <w:t xml:space="preserve"> En Latinoamérica, tiene una prevalencia para &gt;65 años del 38.6 según las estimaciones de la Organización Mundial de la Salud.</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"URL" : "http://www.who.int/pbd/deafness/news/GE_65years.pdf", "accessed" : { "date-parts" : [ [ "2017", "5", "15" ] ] }, "author" : [ { "dropping-particle" : "", "family" : "World Health Organization", "given" : "", "non-dropping-particle" : "", "parse-names" : false, "suffix" : "" } ], "container-title" : "WHO report", "id" : "ITEM-1", "issued" : { "date-parts" : [ [ "2012" ] ] }, "page" : "1-14", "title" : "Hearing loss in persons 65 years and older based on WHO global estimates on prevalence of hearing loss.", "type" : "webpage" }, "uris" : [ "http://www.mendeley.com/documents/?uuid=c02e3675-3bcd-461a-9a94-9b835641b9b0" ] } ], "mendeley" : { "formattedCitation" : "&lt;sup&gt;4&lt;/sup&gt;", "plainTextFormattedCitation" : "4", "previouslyFormattedCitation" : "&lt;sup&gt;4&lt;/sup&gt;"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4</w:t>
      </w:r>
      <w:r w:rsidRPr="00E50C09">
        <w:rPr>
          <w:rFonts w:ascii="Arial" w:hAnsi="Arial" w:cs="Arial"/>
          <w:lang w:val="es-ES"/>
        </w:rPr>
        <w:fldChar w:fldCharType="end"/>
      </w:r>
      <w:r w:rsidRPr="00E50C09">
        <w:rPr>
          <w:rFonts w:ascii="Arial" w:hAnsi="Arial" w:cs="Arial"/>
          <w:lang w:val="es-ES"/>
        </w:rPr>
        <w:t xml:space="preserve"> Esto impone a nivel mundial unos costos de 750 billones de dólares/año</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"URL" : "http://www.who.int/mediacentre/factsheets/fs300/en/", "accessed" : { "date-parts" : [ [ "2017", "5", "15" ] ] }, "author" : [ { "dropping-particle" : "", "family" : "World Health Organization", "given" : "", "non-dropping-particle" : "", "parse-names" : false, "suffix" : "" } ], "container-title" : "Fact Sheet", "id" : "ITEM-1", "issued" : { "date-parts" : [ [ "2017" ] ] }, "title" : "Deafness and hearing loss", "type" : "webpage" }, "uris" : [ "http://www.mendeley.com/documents/?uuid=fd8125fd-5d16-457f-bab6-6780d88c6158" ] } ], "mendeley" : { "formattedCitation" : "&lt;sup&gt;3&lt;/sup&gt;", "plainTextFormattedCitation" : "3", "previouslyFormattedCitation" : "&lt;sup&gt;3&lt;/sup&gt;"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3</w:t>
      </w:r>
      <w:r w:rsidRPr="00E50C09">
        <w:rPr>
          <w:rFonts w:ascii="Arial" w:hAnsi="Arial" w:cs="Arial"/>
          <w:lang w:val="es-ES"/>
        </w:rPr>
        <w:fldChar w:fldCharType="end"/>
      </w:r>
      <w:r w:rsidRPr="00E50C09">
        <w:rPr>
          <w:rFonts w:ascii="Arial" w:hAnsi="Arial" w:cs="Arial"/>
          <w:lang w:val="es-ES"/>
        </w:rPr>
        <w:t xml:space="preserve"> en el sector salud, en costos sociales, en soporte educacional y en perdida de la productividad. </w:t>
      </w:r>
    </w:p>
    <w:p w14:paraId="3C00B73B" w14:textId="77777777" w:rsidR="00E50C09" w:rsidRPr="00E50C09" w:rsidRDefault="00E50C09" w:rsidP="00E50C09">
      <w:pPr>
        <w:jc w:val="both"/>
        <w:rPr>
          <w:rFonts w:ascii="Arial" w:hAnsi="Arial" w:cs="Arial"/>
          <w:lang w:val="es-ES"/>
        </w:rPr>
      </w:pPr>
    </w:p>
    <w:p w14:paraId="0282193F" w14:textId="5248252C" w:rsidR="00E50C09" w:rsidRPr="00E50C09" w:rsidRDefault="00E50C09" w:rsidP="00E50C09">
      <w:pPr>
        <w:jc w:val="both"/>
        <w:rPr>
          <w:rFonts w:ascii="Arial" w:hAnsi="Arial" w:cs="Arial"/>
          <w:lang w:val="es-ES"/>
        </w:rPr>
      </w:pPr>
      <w:r w:rsidRPr="00E50C09">
        <w:rPr>
          <w:rFonts w:ascii="Arial" w:hAnsi="Arial" w:cs="Arial"/>
          <w:lang w:val="es-ES"/>
        </w:rPr>
        <w:t xml:space="preserve">La hipoacusia puede ser clasificada como conductiva o </w:t>
      </w:r>
      <w:proofErr w:type="spellStart"/>
      <w:r w:rsidRPr="00E50C09">
        <w:rPr>
          <w:rFonts w:ascii="Arial" w:hAnsi="Arial" w:cs="Arial"/>
          <w:lang w:val="es-ES"/>
        </w:rPr>
        <w:t>neurosensorial</w:t>
      </w:r>
      <w:proofErr w:type="spellEnd"/>
      <w:r w:rsidRPr="00E50C09">
        <w:rPr>
          <w:rFonts w:ascii="Arial" w:hAnsi="Arial" w:cs="Arial"/>
          <w:lang w:val="es-ES"/>
        </w:rPr>
        <w:t xml:space="preserve">. La hipoacusia conductiva usualmente se relaciona con problemas en el oído externo o medio que interfieren con la transición del sonido y su conversión en vibraciones mecánicas. La hipoacusia </w:t>
      </w:r>
      <w:proofErr w:type="spellStart"/>
      <w:r w:rsidRPr="00E50C09">
        <w:rPr>
          <w:rFonts w:ascii="Arial" w:hAnsi="Arial" w:cs="Arial"/>
          <w:lang w:val="es-ES"/>
        </w:rPr>
        <w:t>neurosensitiva</w:t>
      </w:r>
      <w:proofErr w:type="spellEnd"/>
      <w:r w:rsidRPr="00E50C09">
        <w:rPr>
          <w:rFonts w:ascii="Arial" w:hAnsi="Arial" w:cs="Arial"/>
          <w:lang w:val="es-ES"/>
        </w:rPr>
        <w:t xml:space="preserve"> involucra problemas en la conversión de vibraciones mecánicas en potencial eléctrico en la cóclea y/o la transmisión en el nervio </w:t>
      </w:r>
      <w:r w:rsidR="00572131">
        <w:rPr>
          <w:rFonts w:ascii="Arial" w:hAnsi="Arial" w:cs="Arial"/>
          <w:lang w:val="es-ES"/>
        </w:rPr>
        <w:t>auditivo</w:t>
      </w:r>
      <w:r w:rsidRPr="00E50C09">
        <w:rPr>
          <w:rFonts w:ascii="Arial" w:hAnsi="Arial" w:cs="Arial"/>
          <w:lang w:val="es-ES"/>
        </w:rPr>
        <w:t xml:space="preserve"> al cerebro. Usualmente relacionado con un daño permanente en el órgano de Corti.</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"ISBN" : "1263812643", "ISSN" : "0002838X", "PMID" : "22962895", "abstract" : "Hearing loss affects approximately one-third of adults 61 to 70 years of age and more than 80 percent of those older than 85 years. Men usually experience greater hearing loss and have earlier onset compared with women. The most common type is age-related hearing loss; however, many conditions can interfere with the conduction of sound vibrations to the inner ear and their conversion to electrical impulses for conduction to the brain. Screening for hearing loss is recommended in adults older than 50 to 60 years. Office screening tests include the whispered voice test and audioscopy. Older patients who admit to having difficulty hearing may be referred directly for audiometry. The history can identify risk factors for hearing loss, especially noise exposure and use of ototoxic medications. Examination of the auditory canal and tympanic membrane can identify causes of conductive hearing loss. Audiometric testing is required to confirm hearing loss. Adults presenting with idiopathic sudden sensorineural hearing loss should be referred for urgent assessment. Management of hearing loss is based on addressing underlying causes, especially obstructions (including cerumen) and ototoxic medications. Residual hearing should be optimized by use of hearing aids, assistive listening devices, and rehabilitation programs. Surgical implants are indicated for selected patients. Major barriers to improved hearing in older adults include lack of recognition of hearing loss; perception that hearing loss is a normal part of aging or is not amenable to treatment; and patient nonadherence with hearing aids because of stigma, cost, inconvenience, disappointing initial results, or other factors.", "author" : [ { "dropping-particle" : "", "family" : "Walling", "given" : "Anne D.", "non-dropping-particle" : "", "parse-names" : false, "suffix" : "" }, { "dropping-particle" : "", "family" : "Dickson", "given" : "G.M. Gretchen M", "non-dropping-particle" : "", "parse-names" : false, "suffix" : "" } ], "container-title" : "American family physician", "id" : "ITEM-1", "issue" : "12", "issued" : { "date-parts" : [ [ "2012", "6", "15" ] ] }, "page" : "1150-6", "title" : "Hearing loss in older adults.", "type" : "article-journal", "volume" : "85" }, "uris" : [ "http://www.mendeley.com/documents/?uuid=4d2f0f80-ce3e-4382-80ef-7747ab3f1c94" ] }, { "id" : "ITEM-2", "itemData" : { "ISSN" : "0300-8495", "PMID" : "27622223", "abstract" : "BACKGROUND Hearing loss is the most common sensory deficit in elderly patients, and is often under-recognised and poorly managed. It is essential for all clinicians to have awareness and knowledge in this field to enable the institution of early and appropriate care. OBJECTIVE The goal of this article is to review the causes, diagnosis and management of hearing loss as it applies to elderly patients. The review describes a useful approach that clinicians can apply to daily practice. DISCUSSION For elderly patients presenting with hearing loss, the basic assessment should include history, physical examination and pure tone audiometry. Management depends on the cause and type of hearing loss, and options include medical therapy, surgery and amplification. In the absence of a simple and correctable cause, consider referring patients to an otolaryngologist for further assessment.", "author" : [ { "dropping-particle" : "", "family" : "Phan", "given" : "Nga T", "non-dropping-particle" : "", "parse-names" : false, "suffix" : "" }, { "dropping-particle" : "", "family" : "McKenzie", "given" : "Jo-Lyn", "non-dropping-particle" : "", "parse-names" : false, "suffix" : "" }, { "dropping-particle" : "", "family" : "Huang", "given" : "Lisa", "non-dropping-particle" : "", "parse-names" : false, "suffix" : "" }, { "dropping-particle" : "", "family" : "Whitfield", "given" : "Bernard", "non-dropping-particle" : "", "parse-names" : false, "suffix" : "" }, { "dropping-particle" : "", "family" : "Chang", "given" : "Andrew", "non-dropping-particle" : "", "parse-names" : false, "suffix" : "" } ], "container-title" : "Australian family physician", "id" : "ITEM-2", "issue" : "6", "issued" : { "date-parts" : [ [ "2016" ] ] }, "page" : "366-9", "title" : "Diagnosis and management of hearing loss in elderly patients.", "type" : "article-journal", "volume" : "45" }, "uris" : [ "http://www.mendeley.com/documents/?uuid=75245072-24d9-4a3f-9f0a-50d71d7f4bb2" ] } ], "mendeley" : { "formattedCitation" : "&lt;sup&gt;7,8&lt;/sup&gt;", "plainTextFormattedCitation" : "7,8", "previouslyFormattedCitation" : "&lt;sup&gt;7,8&lt;/sup&gt;"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7,8</w:t>
      </w:r>
      <w:r w:rsidRPr="00E50C09">
        <w:rPr>
          <w:rFonts w:ascii="Arial" w:hAnsi="Arial" w:cs="Arial"/>
          <w:lang w:val="es-ES"/>
        </w:rPr>
        <w:fldChar w:fldCharType="end"/>
      </w:r>
      <w:r w:rsidRPr="00E50C09">
        <w:rPr>
          <w:rFonts w:ascii="Arial" w:hAnsi="Arial" w:cs="Arial"/>
          <w:lang w:val="es-ES"/>
        </w:rPr>
        <w:t xml:space="preserve"> Más del 90% de las pérdidas de audición relacionadas con la edad están asociadas a la afectación </w:t>
      </w:r>
      <w:proofErr w:type="spellStart"/>
      <w:r w:rsidRPr="00E50C09">
        <w:rPr>
          <w:rFonts w:ascii="Arial" w:hAnsi="Arial" w:cs="Arial"/>
          <w:lang w:val="es-ES"/>
        </w:rPr>
        <w:t>neurosensorial</w:t>
      </w:r>
      <w:proofErr w:type="spellEnd"/>
      <w:r w:rsidRPr="00E50C09">
        <w:rPr>
          <w:rFonts w:ascii="Arial" w:hAnsi="Arial" w:cs="Arial"/>
          <w:lang w:val="es-ES"/>
        </w:rPr>
        <w:t>, la cual es gradual, simétrica, predominante para frecuencias altas y que se empeora en ambientes ruidosos.</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"ISBN" : "1263812643", "ISSN" : "0002838X", "PMID" : "22962895", "abstract" : "Hearing loss affects approximately one-third of adults 61 to 70 years of age and more than 80 percent of those older than 85 years. Men usually experience greater hearing loss and have earlier onset compared with women. The most common type is age-related hearing loss; however, many conditions can interfere with the conduction of sound vibrations to the inner ear and their conversion to electrical impulses for conduction to the brain. Screening for hearing loss is recommended in adults older than 50 to 60 years. Office screening tests include the whispered voice test and audioscopy. Older patients who admit to having difficulty hearing may be referred directly for audiometry. The history can identify risk factors for hearing loss, especially noise exposure and use of ototoxic medications. Examination of the auditory canal and tympanic membrane can identify causes of conductive hearing loss. Audiometric testing is required to confirm hearing loss. Adults presenting with idiopathic sudden sensorineural hearing loss should be referred for urgent assessment. Management of hearing loss is based on addressing underlying causes, especially obstructions (including cerumen) and ototoxic medications. Residual hearing should be optimized by use of hearing aids, assistive listening devices, and rehabilitation programs. Surgical implants are indicated for selected patients. Major barriers to improved hearing in older adults include lack of recognition of hearing loss; perception that hearing loss is a normal part of aging or is not amenable to treatment; and patient nonadherence with hearing aids because of stigma, cost, inconvenience, disappointing initial results, or other factors.", "author" : [ { "dropping-particle" : "", "family" : "Walling", "given" : "Anne D.", "non-dropping-particle" : "", "parse-names" : false, "suffix" : "" }, { "dropping-particle" : "", "family" : "Dickson", "given" : "G.M. Gretchen M", "non-dropping-particle" : "", "parse-names" : false, "suffix" : "" } ], "container-title" : "American family physician", "id" : "ITEM-1", "issue" : "12", "issued" : { "date-parts" : [ [ "2012", "6", "15" ] ] }, "page" : "1150-6", "title" : "Hearing loss in older adults.", "type" : "article-journal", "volume" : "85" }, "uris" : [ "http://www.mendeley.com/documents/?uuid=4d2f0f80-ce3e-4382-80ef-7747ab3f1c94" ] } ], "mendeley" : { "formattedCitation" : "&lt;sup&gt;7&lt;/sup&gt;", "plainTextFormattedCitation" : "7", "previouslyFormattedCitation" : "&lt;sup&gt;7&lt;/sup&gt;"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7</w:t>
      </w:r>
      <w:r w:rsidRPr="00E50C09">
        <w:rPr>
          <w:rFonts w:ascii="Arial" w:hAnsi="Arial" w:cs="Arial"/>
          <w:lang w:val="es-ES"/>
        </w:rPr>
        <w:fldChar w:fldCharType="end"/>
      </w:r>
      <w:r w:rsidRPr="00E50C09">
        <w:rPr>
          <w:rFonts w:ascii="Arial" w:hAnsi="Arial" w:cs="Arial"/>
          <w:lang w:val="es-ES"/>
        </w:rPr>
        <w:t xml:space="preserve"> La hipoacusia </w:t>
      </w:r>
      <w:proofErr w:type="spellStart"/>
      <w:r w:rsidRPr="00E50C09">
        <w:rPr>
          <w:rFonts w:ascii="Arial" w:hAnsi="Arial" w:cs="Arial"/>
          <w:lang w:val="es-ES"/>
        </w:rPr>
        <w:t>neurosensorial</w:t>
      </w:r>
      <w:proofErr w:type="spellEnd"/>
      <w:r w:rsidRPr="00E50C09">
        <w:rPr>
          <w:rFonts w:ascii="Arial" w:hAnsi="Arial" w:cs="Arial"/>
          <w:lang w:val="es-ES"/>
        </w:rPr>
        <w:t xml:space="preserve"> relacionada con la edad es el octavo indicador de perdida de años de vida por discapacidad. Tiene múltiples consecuencias: la principal es la </w:t>
      </w:r>
      <w:proofErr w:type="gramStart"/>
      <w:r w:rsidRPr="00E50C09">
        <w:rPr>
          <w:rFonts w:ascii="Arial" w:hAnsi="Arial" w:cs="Arial"/>
          <w:lang w:val="es-ES"/>
        </w:rPr>
        <w:t>perdida</w:t>
      </w:r>
      <w:proofErr w:type="gramEnd"/>
      <w:r w:rsidRPr="00E50C09">
        <w:rPr>
          <w:rFonts w:ascii="Arial" w:hAnsi="Arial" w:cs="Arial"/>
          <w:lang w:val="es-ES"/>
        </w:rPr>
        <w:t xml:space="preserve"> de la habilidad para comunicarse, lo que se traduce en alteraciones emocionales, de interacción y de rendimiento laboral. </w:t>
      </w:r>
    </w:p>
    <w:p w14:paraId="540F2BF3" w14:textId="77777777" w:rsidR="00E50C09" w:rsidRPr="00E50C09" w:rsidRDefault="00E50C09" w:rsidP="00E50C09">
      <w:pPr>
        <w:jc w:val="both"/>
        <w:rPr>
          <w:rFonts w:ascii="Arial" w:hAnsi="Arial" w:cs="Arial"/>
          <w:lang w:val="es-ES"/>
        </w:rPr>
      </w:pPr>
    </w:p>
    <w:p w14:paraId="6515ED9B" w14:textId="77777777" w:rsidR="00E50C09" w:rsidRPr="00E50C09" w:rsidRDefault="00E50C09" w:rsidP="00E50C09">
      <w:pPr>
        <w:jc w:val="both"/>
        <w:rPr>
          <w:rFonts w:ascii="Arial" w:hAnsi="Arial" w:cs="Arial"/>
          <w:lang w:val="es-ES"/>
        </w:rPr>
      </w:pPr>
      <w:r w:rsidRPr="00E50C09">
        <w:rPr>
          <w:rFonts w:ascii="Arial" w:hAnsi="Arial" w:cs="Arial"/>
          <w:lang w:val="es-ES"/>
        </w:rPr>
        <w:t xml:space="preserve">En aquellos pacientes con hipoacusia </w:t>
      </w:r>
      <w:proofErr w:type="spellStart"/>
      <w:r w:rsidRPr="00E50C09">
        <w:rPr>
          <w:rFonts w:ascii="Arial" w:hAnsi="Arial" w:cs="Arial"/>
          <w:lang w:val="es-ES"/>
        </w:rPr>
        <w:t>neurosensorial</w:t>
      </w:r>
      <w:proofErr w:type="spellEnd"/>
      <w:r w:rsidRPr="00E50C09">
        <w:rPr>
          <w:rFonts w:ascii="Arial" w:hAnsi="Arial" w:cs="Arial"/>
          <w:lang w:val="es-ES"/>
        </w:rPr>
        <w:t xml:space="preserve"> severas/profundas se encuentra indicado el implante coclear. Específicamente en pacientes mayores de 65, tiene un menor impacto en la calidad auditiva con mejoría en la calidad de vida equiparables a la población joven.</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"author" : [ { "dropping-particle" : "", "family" : "Lamb-OBE", "given" : "B", "non-dropping-particle" : "", "parse-names" : false, "suffix" : "" }, { "dropping-particle" : "De", "family" : "Raeve-PhD", "given" : "L", "non-dropping-particle" : "", "parse-names" : false, "suffix" : "" }, { "dropping-particle" : "", "family" : "Archbold-PhD", "given" : "S", "non-dropping-particle" : "", "parse-names" : false, "suffix" : "" } ], "container-title" : "Onici.Be", "id" : "ITEM-1", "issued" : { "date-parts" : [ [ "0" ] ] }, "title" : "Adult Cochlear Implantation: The Belgian experience", "type" : "article-journal" }, "uris" : [ "http://www.mendeley.com/documents/?uuid=291f38d5-2868-4dcc-b9f5-13b28966c249" ] }, { "id" : "ITEM-2", "itemData" : { "DOI" : "10.1001/jamaoto.2015.129", "author" : [ { "dropping-particle" : "", "family" : "Investigation", "given" : "Original", "non-dropping-particle" : "", "parse-names" : false, "suffix" : "" } ], "id" : "ITEM-2", "issue" : "5", "issued" : { "date-parts" : [ [ "2017" ] ] }, "page" : "442-450", "title" : "Improvement of Cognitive Function After Cochlear Implantation in Elderly Patients", "type" : "article-journal", "volume" : "141" }, "uris" : [ "http://www.mendeley.com/documents/?uuid=62b38cbe-dc74-47a3-b862-8c05f94a3085" ] } ], "mendeley" : { "formattedCitation" : "&lt;sup&gt;5,9&lt;/sup&gt;", "plainTextFormattedCitation" : "5,9", "previouslyFormattedCitation" : "&lt;sup&gt;5,9&lt;/sup&gt;"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5,9</w:t>
      </w:r>
      <w:r w:rsidRPr="00E50C09">
        <w:rPr>
          <w:rFonts w:ascii="Arial" w:hAnsi="Arial" w:cs="Arial"/>
          <w:lang w:val="es-ES"/>
        </w:rPr>
        <w:fldChar w:fldCharType="end"/>
      </w:r>
      <w:r w:rsidRPr="00E50C09">
        <w:rPr>
          <w:rFonts w:ascii="Arial" w:hAnsi="Arial" w:cs="Arial"/>
          <w:lang w:val="es-ES"/>
        </w:rPr>
        <w:t xml:space="preserve"> En general, es un procedimiento bien tolerado y las tasas de riesgos menores y mayores derivados de la intervención, son comparables con la población joven. </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"10.1016/j.joto.2016.03.004", "ISSN" : "16722930", "abstract" : "Global demographic changes related to longevity are leading to increasing numbers of the elderly, for whom hearing loss is a significant cause of morbidity and disability. Once met with reticence, severely hearing impaired older adults are increasingly being considered for cochlear implantation (CI). Significant data indicate that CI in the elderly population is safe, well-tolerated, and effective. Risks from CI surgery and anesthesia are low and generally comparable to rates in other age groups. Outcomes studies regarding CI in older adults have shown excellent improvements to speech perception, quality of life, and even cognition. Overall, currently available data suggests that advanced age should not, in itself, be considered a barrier to implantation. This review paper will highlight selected articles from recent medical literature regarding the safety and efficacy of CI in the elderly population.", "author" : [ { "dropping-particle" : "", "family" : "Yang", "given" : "Zao", "non-dropping-particle" : "", "parse-names" : false, "suffix" : "" }, { "dropping-particle" : "", "family" : "Cosetti", "given" : "Maura", "non-dropping-particle" : "", "parse-names" : false, "suffix" : "" } ], "container-title" : "Journal of Otology", "id" : "ITEM-1", "issue" : "1", "issued" : { "date-parts" : [ [ "2016" ] ] }, "page" : "1-6", "publisher" : "Elsevier Ltd", "title" : "Safety and outcomes of cochlear implantation in the elderly: A review of recent literature", "type" : "article-journal", "volume" : "11" }, "uris" : [ "http://www.mendeley.com/documents/?uuid=0f76ce65-b781-46b7-8847-f41472b9845b" ] } ], "mendeley" : { "formattedCitation" : "&lt;sup&gt;10&lt;/sup&gt;", "plainTextFormattedCitation" : "10", "previouslyFormattedCitation" : "&lt;sup&gt;10&lt;/sup&gt;"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10</w:t>
      </w:r>
      <w:r w:rsidRPr="00E50C09">
        <w:rPr>
          <w:rFonts w:ascii="Arial" w:hAnsi="Arial" w:cs="Arial"/>
          <w:lang w:val="es-ES"/>
        </w:rPr>
        <w:fldChar w:fldCharType="end"/>
      </w:r>
      <w:r w:rsidRPr="00E50C09">
        <w:rPr>
          <w:rFonts w:ascii="Arial" w:hAnsi="Arial" w:cs="Arial"/>
          <w:lang w:val="es-ES"/>
        </w:rPr>
        <w:t xml:space="preserve"> Menos del 1% de los pacientes presentan falla del dispositivo, y en este caso, puede ser remplazado por otro sin pérdida del beneficio auditivo.</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"10.1016/j.cger.2006.04.003", "ISBN" : "0882002082", "ISSN" : "07490690", "PMID" : "16860253", "abstract" : "CIs are cost-effective auditory prostheses that safely provide a high-quality sensation of hearing to adults who are severely or profoundly deaf. In the past 5 years, progress has been made in hardware and software design, candidate selection, surgical techniques, device programming, education and rehabilitation, and, most importantly, outcomes. Cochlear implantation in the elderly is well tolerated and provides marked improvement in auditory performance and psychosocial functioning [25]. \u00a9 2006 Elsevier Inc. All rights reserved.", "author" : [ { "dropping-particle" : "", "family" : "Connell", "given" : "Sarah S.", "non-dropping-particle" : "", "parse-names" : false, "suffix" : "" }, { "dropping-particle" : "", "family" : "Balkany", "given" : "Thomas J.", "non-dropping-particle" : "", "parse-names" : false, "suffix" : "" } ], "container-title" : "Clinics in Geriatric Medicine", "id" : "ITEM-1", "issue" : "3", "issued" : { "date-parts" : [ [ "2006" ] ] }, "page" : "677-686", "title" : "Cochlear Implants", "type" : "article-journal", "volume" : "22" }, "uris" : [ "http://www.mendeley.com/documents/?uuid=322c02fc-1db0-4e8c-9a39-8ebdc06ccaa6" ] } ], "mendeley" : { "formattedCitation" : "&lt;sup&gt;11&lt;/sup&gt;", "plainTextFormattedCitation" : "11", "previouslyFormattedCitation" : "&lt;sup&gt;11&lt;/sup&gt;"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11</w:t>
      </w:r>
      <w:r w:rsidRPr="00E50C09">
        <w:rPr>
          <w:rFonts w:ascii="Arial" w:hAnsi="Arial" w:cs="Arial"/>
          <w:lang w:val="es-ES"/>
        </w:rPr>
        <w:fldChar w:fldCharType="end"/>
      </w:r>
      <w:r w:rsidRPr="00E50C09">
        <w:rPr>
          <w:rFonts w:ascii="Arial" w:hAnsi="Arial" w:cs="Arial"/>
          <w:lang w:val="es-ES"/>
        </w:rPr>
        <w:t xml:space="preserve"> En pacientes adultos mayores a 65 años, se identificó una mejoría en el umbral auditivo y la percepción del lenguaje los factores que influencian la respuesta son el soporte familiar y de los profesionales, así como la duración de la pérdida auditiva y la puntuación previo a la implantación. </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"10.1186/1471-2482-13-S2-S1", "ISSN" : "1471-2482", "PMID" : "24267394", "abstract" : "BACKGROUND: At the present time, 50 to 60% of the population above 70 years of age suffers from a hearing impairment and from 0.6 to 1.1% has a severe to profound loss, which cannot benefit from an hearing aid. Moreover, it is expected that this prevalence will grow by more than two-fold in the next 40 years. There is strong evidence that hearing loss in older adults is associated with both cognitive load and social isolation, which in turn, are associated with cognitive and physical functioning. Cochlear implant (CI) dramatically improves sound audibility and speech understanding. The aim of this paper was to analyze outcome and complications of CI treatment in elderly patients.\\n\\nMETHODS: A retrospective study on 17 patients, aged at implantation between 65 and 79 years (mean = 70.47 \u00b1 3.94), unilaterally implanted for severe to profound bilateral hearing loss. The following data were statistically evaluated: pre-implant pure-tone threshold and tests of speech recognition, both with hearing aid that without; post-implant threshold and speech perception with CI off and on. Moreover, statistical correlations of PTA improvement between two age groups (65 to 70 and over 70 years) were carried out.\\n\\nRESULTS: Mean PTA improved from 111.25 (\u00b1 17.51) (pre-implant) to 43.81 (\u00b1 9.27) (post-implant); and the mean SRT improved from 90 dB to 65 dB. Moreover there was no statistical difference in PTA improvement between the two age groups (65 to 70 and over 70 years). No severe per- or post-operative surgical complications were noted.\\n\\nDISCUSSION: In the elderly, CI is a safe procedure that significantly improves hearing threshold (p &lt; 0.00001) and speech perception (p &lt; 0.01). Support of family and professionals, as well as duration of deafness and pre-implant scores greatly influence the results of rehabilitation and its perceived benefit. CI should not be denied in older individuals who are otherwise in good health.", "author" : [ { "dropping-particle" : "", "family" : "Alice", "given" : "Benatti", "non-dropping-particle" : "", "parse-names" : false, "suffix" : "" }, { "dropping-particle" : "", "family" : "Silvia", "given" : "Montino", "non-dropping-particle" : "", "parse-names" : false, "suffix" : "" }, { "dropping-particle" : "", "family" : "Laura", "given" : "Girasoli", "non-dropping-particle" : "", "parse-names" : false, "suffix" : "" }, { "dropping-particle" : "", "family" : "Patrizia", "given" : "Trevisi", "non-dropping-particle" : "", "parse-names" : false, "suffix" : "" }, { "dropping-particle" : "", "family" : "Roberto", "given" : "Bovo", "non-dropping-particle" : "", "parse-names" : false, "suffix" : "" } ], "container-title" : "BMC Surgery", "id" : "ITEM-1", "issue" : "Suppl 2", "issued" : { "date-parts" : [ [ "2013" ] ] }, "page" : "S1", "title" : "Cochlear implantation in the elderly: surgical and hearing outcomes", "type" : "article-journal", "volume" : "13" }, "uris" : [ "http://www.mendeley.com/documents/?uuid=fe79a5c9-20a3-46c9-82b7-f42faa7c7bb1" ] } ], "mendeley" : { "formattedCitation" : "&lt;sup&gt;6&lt;/sup&gt;", "plainTextFormattedCitation" : "6", "previouslyFormattedCitation" : "&lt;sup&gt;6&lt;/sup&gt;"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6</w:t>
      </w:r>
      <w:r w:rsidRPr="00E50C09">
        <w:rPr>
          <w:rFonts w:ascii="Arial" w:hAnsi="Arial" w:cs="Arial"/>
          <w:lang w:val="es-ES"/>
        </w:rPr>
        <w:fldChar w:fldCharType="end"/>
      </w:r>
      <w:r w:rsidRPr="00E50C09">
        <w:rPr>
          <w:rFonts w:ascii="Arial" w:hAnsi="Arial" w:cs="Arial"/>
          <w:lang w:val="es-ES"/>
        </w:rPr>
        <w:t xml:space="preserve"> En pacientes adultos mayores de 60 años tuvieron una mejoría significativa de la calidad de vida especialmente en el área de salud general, encontrándose que la edad, la duración de la pérdida auditiva y el tiempo de uso de un sistema de ayuda contribuyeron a tener una mejor calidad de vida posterior a la implantación.</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"10.1179/1754762812Y.0000000028", "ISBN" : "1754762814670100", "ISSN" : "1467-0100", "PMID" : "23510755", "abstract" : "OBJECTIVES: Quantifying the improvement in quality of life (QoL) of cochlear implant (CI) patients over 60, its relation to audiometric benefits and the subjective impact on specific areas of life.\\n\\nMETHODS: An observational retrospective study was conducted on 26 individuals (17 male and 9 female) older than 60, all implanted in our unit between 1 January 1999 and 31 January 2009. And 10 patients (5 male and 5 female) aged between 40 and 60 were the control group. A full postoperative audiological evaluation was completed. Sociodemographic characteristics and history of hearing loss were collected. To evaluate QoL benefits, the Glasgow Benefit Inventory test and the Specific Questionnaire were filled in.\\n\\nRESULTS: Patients in the test and control groups had similar preoperative speech recognition levels. Preoperative audiometric thresholds were significantly worse in patients from 40 to 60 years of age although they scored better in speech recognition after implantation. Patients experienced significant improvement in their QoL in all areas, especially in general health, while they experienced a smaller improvement in social interaction. Age, duration of deafness, and years wearing the processor were statistically related to QoL regardless of audiometric benefit. Unilateral CI users and patients without tinnitus obtain better QoL although no statistical relation was found.\\n\\nCONCLUSIONS: Cochlear implantation improves QoL of patients over 60 by the mere fact of having been implanted, regardless of poorer audiological benefits. Older patients, with long-term deafness experience a greater improvement in QoL after implantation. The results of this study should aid other centers when counseling patients on the expected, daily functional benefits of cochlear implantation.", "author" : [ { "dropping-particle" : "", "family" : "Ramos", "given" : "\u00c1ngel", "non-dropping-particle" : "", "parse-names" : false, "suffix" : "" }, { "dropping-particle" : "", "family" : "Guerra-Jim\u00e9nez", "given" : "Gloria", "non-dropping-particle" : "", "parse-names" : false, "suffix" : "" }, { "dropping-particle" : "", "family" : "Rodriguez", "given" : "Carina", "non-dropping-particle" : "", "parse-names" : false, "suffix" : "" }, { "dropping-particle" : "", "family" : "Borkoski", "given" : "Silvia", "non-dropping-particle" : "", "parse-names" : false, "suffix" : "" }, { "dropping-particle" : "", "family" : "Falc\u00f3n", "given" : "Juan Carlos", "non-dropping-particle" : "", "parse-names" : false, "suffix" : "" }, { "dropping-particle" : "", "family" : "Perez", "given" : "Daniel", "non-dropping-particle" : "", "parse-names" : false, "suffix" : "" } ], "container-title" : "Cochlear Implants International", "id" : "ITEM-1", "issue" : "5", "issued" : { "date-parts" : [ [ "2013" ] ] }, "page" : "241-245", "title" : "Cochlear implants in adults over 60: A study of communicative benefits and the impact on quality of life", "type" : "article-journal", "volume" : "14" }, "uris" : [ "http://www.mendeley.com/documents/?uuid=75c07b51-fa7b-42cf-8d6a-38d07d8d772f" ] }, { "id" : "ITEM-2", "itemData" : { "DOI" : "10.1097/AUD.0b013e31824b9dfc", "ISBN" : "6176321972", "ISSN" : "1538-4667", "PMID" : "22441359", "abstract" : "OBJECTIVE Bilateral severe to profound sensorineural hearing loss is a standard criterion for cochlear implantation. Increasingly, patients are implanted in one ear and continue to use a hearing aid in the nonimplanted ear to improve abilities such as sound localization and speech understanding in noise. Patients with severe to profound hearing loss in one ear and a more moderate hearing loss in the other ear (i.e., asymmetric hearing) are not typically considered candidates for cochlear implantation. Amplification in the poorer ear is often unsuccessful because of limited benefit, restricting the patient to unilateral listening from the better ear alone. The purpose of this study was to determine whether patients with asymmetric hearing loss could benefit from cochlear implantation in the poorer ear with continued use of a hearing aid in the better ear. DESIGN Ten adults with asymmetric hearing between ears participated. In the poorer ear, all participants met cochlear implant candidacy guidelines; seven had postlingual onset, and three had pre/perilingual onset of severe to profound hearing loss. All had open-set speech recognition in the better-hearing ear. Assessment measures included word and sentence recognition in quiet, sentence recognition in fixed noise (four-talker babble) and in diffuse restaurant noise using an adaptive procedure, localization of word stimuli, and a hearing handicap scale. Participants were evaluated preimplant with hearing aids and postimplant with the implant alone, the hearing aid alone in the better ear, and bimodally (the implant and hearing aid in combination). Postlingual participants were evaluated at 6 mo postimplant, and pre/perilingual participants were evaluated at 6 and 12 mo postimplant. Data analysis compared the following results: (1) the poorer-hearing ear preimplant (with hearing aid) and postimplant (with cochlear implant); (2) the device(s) used for everyday listening pre- and postimplant; and (3) the hearing aid-alone and bimodal listening conditions postimplant. RESULTS The postlingual participants showed significant improvements in speech recognition after 6 mo cochlear implant use in the poorer ear. Five postlingual participants had a bimodal advantage over the hearing aid-alone condition on at least one test measure. On average, the postlingual participants had significantly improved localization with bimodal input compared with the hearing aid-alone. Only one pre/perilingual participant had open-se\u2026", "author" : [ { "dropping-particle" : "", "family" : "Firszt", "given" : "Jill B", "non-dropping-particle" : "", "parse-names" : false, "suffix" : "" }, { "dropping-particle" : "", "family" : "Holden", "given" : "Laura K", "non-dropping-particle" : "", "parse-names" : false, "suffix" : "" }, { "dropping-particle" : "", "family" : "Reeder", "given" : "Ruth M", "non-dropping-particle" : "", "parse-names" : false, "suffix" : "" }, { "dropping-particle" : "", "family" : "Cowdrey", "given" : "Lisa", "non-dropping-particle" : "", "parse-names" : false, "suffix" : "" }, { "dropping-particle" : "", "family" : "King", "given" : "Sarah", "non-dropping-particle" : "", "parse-names" : false, "suffix" : "" } ], "container-title" : "Ear and hearing", "id" : "ITEM-2", "issue" : "4", "issued" : { "date-parts" : [ [ "2008" ] ] }, "page" : "521-33", "title" : "Cochlear implantation in adults with asymmetric hearing loss.", "type" : "article-journal", "volume" : "33" }, "uris" : [ "http://www.mendeley.com/documents/?uuid=fb0d0a9a-6a76-4b66-8cbe-d9ab3f38a6d3" ] } ], "mendeley" : { "formattedCitation" : "&lt;sup&gt;12,13&lt;/sup&gt;", "plainTextFormattedCitation" : "12,13", "previouslyFormattedCitation" : "&lt;sup&gt;12,13&lt;/sup&gt;"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12,13</w:t>
      </w:r>
      <w:r w:rsidRPr="00E50C09">
        <w:rPr>
          <w:rFonts w:ascii="Arial" w:hAnsi="Arial" w:cs="Arial"/>
          <w:lang w:val="es-ES"/>
        </w:rPr>
        <w:fldChar w:fldCharType="end"/>
      </w:r>
      <w:r w:rsidRPr="00E50C09">
        <w:rPr>
          <w:rFonts w:ascii="Arial" w:hAnsi="Arial" w:cs="Arial"/>
          <w:lang w:val="es-ES"/>
        </w:rPr>
        <w:t xml:space="preserve"> Pacientes mayores que recibieron implante coclear con sordera profunda tuvieron mejoría significativa en las pruebas de percepción del lenguaje.</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"10.2147/CIA.S50698", "ISSN" : "11769092", "PMID" : "24124356", "abstract" : "PURPOSE: To assess the benefits of cochlear implantation in the elderly. PATIENTS AND METHODS: A retrospective analysis of 31 postlingually deafened elderly (\u226560 years of age) with unilateral cochlear implants was conducted. Audiological testing included preoperative and postoperative pure-tone audiometry and a monosyllabic word recognition test presented from recorded material in free field. Speech perception tests included Ling's six sound test (sound detection, discrimination, and identification), syllable discrimination, and monosyllabic and multisyllabic word recognition (open set) without lip-reading. Everyday life benefits from cochlear implantation were also evaluated. RESULTS: The mean age at the time of cochlear implantation was 72.4 years old. The mean postimplantation follow-up time was 2.34 years. All patients significantly improved their audiological and speech understanding performances. The preoperative mean pure-tone average threshold for 500 Hz, 1,000 Hz, 2,000 Hz, and 4,000 Hz was 110.17 dB HL. Before cochlear implantation, all patients scored 0% on the monosyllabic word recognition test in free field at 70 dB SPL intensity level. The postoperative pure-tone average was 37.14 dB HL (the best mean threshold was 17.50 dB HL, the worst was 58.75 dB HL). After the surgery, mean monosyllabic word recognition reached 47.25%. Speech perception tests showed statistically significant improvement in speech recognition. CONCLUSION: The results of this study showed that cochlear implantation is indeed a successful treatment for improving speech recognition and offers a great help in everyday life to deafened elderly patients. Therefore, they can be good candidates for cochlear implantation and their age alone should not be a relevant or excluding factor when choosing candidates for cochlear implantation.", "author" : [ { "dropping-particle" : "", "family" : "Lachowska", "given" : "Magdalena", "non-dropping-particle" : "", "parse-names" : false, "suffix" : "" }, { "dropping-particle" : "", "family" : "Pastuszka", "given" : "Agnieszka", "non-dropping-particle" : "", "parse-names" : false, "suffix" : "" }, { "dropping-particle" : "", "family" : "Glinka", "given" : "Paulina", "non-dropping-particle" : "", "parse-names" : false, "suffix" : "" }, { "dropping-particle" : "", "family" : "Niemczyk", "given" : "Kazimierz", "non-dropping-particle" : "", "parse-names" : false, "suffix" : "" } ], "container-title" : "Clinical Interventions in Aging", "id" : "ITEM-1", "issued" : { "date-parts" : [ [ "2013" ] ] }, "page" : "1339-1346", "title" : "Is cochlear implantation a good treatment method for profoundly deafened elderly?", "type" : "article-journal", "volume" : "8" }, "uris" : [ "http://www.mendeley.com/documents/?uuid=60c20c36-7eef-4092-91a0-3a54a6035ef1" ] } ], "mendeley" : { "formattedCitation" : "&lt;sup&gt;14&lt;/sup&gt;", "plainTextFormattedCitation" : "14", "previouslyFormattedCitation" : "&lt;sup&gt;14&lt;/sup&gt;"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14</w:t>
      </w:r>
      <w:r w:rsidRPr="00E50C09">
        <w:rPr>
          <w:rFonts w:ascii="Arial" w:hAnsi="Arial" w:cs="Arial"/>
          <w:lang w:val="es-ES"/>
        </w:rPr>
        <w:fldChar w:fldCharType="end"/>
      </w:r>
      <w:r w:rsidRPr="00E50C09">
        <w:rPr>
          <w:rFonts w:ascii="Arial" w:hAnsi="Arial" w:cs="Arial"/>
          <w:lang w:val="es-ES"/>
        </w:rPr>
        <w:t xml:space="preserve"> La percepción del lenguaje sin pistas visuales, fue significativamente mejorada después del implante coclear y después de realizar una revisión de la información disponible no existen diferencias entre la población de adultos mayores y jóvenes a los 6 y 12 meses de seguimiento; se ha reportado que la población más joven tiene una ganancia más rápida. El desempeño comunicativo reportado por el paciente fue evaluado en diferentes estudios en donde se ha encontrado una mayor confianza y participación en las actividades sociales entre el 81-94% y el 50–80% respectivamente. También se ha evidenciado mejoría de la depresión.</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"10.1111/j.1532-5415.2012.04150.x.Cochlear", "author" : [ { "dropping-particle" : "", "family" : "Clark", "given" : "James H", "non-dropping-particle" : "", "parse-names" : false, "suffix" : "" }, { "dropping-particle" : "", "family" : "Yeagle", "given" : "Jennifer", "non-dropping-particle" : "", "parse-names" : false, "suffix" : "" }, { "dropping-particle" : "", "family" : "Ed", "given" : "M", "non-dropping-particle" : "", "parse-names" : false, "suffix" : "" }, { "dropping-particle" : "", "family" : "Arbaje", "given" : "Alicia I", "non-dropping-particle" : "", "parse-names" : false, "suffix" : "" }, { "dropping-particle" : "", "family" : "Lin", "given" : "Frank R", "non-dropping-particle" : "", "parse-names" : false, "suffix" : "" }, { "dropping-particle" : "", "family" : "Niparko", "given" : "John K", "non-dropping-particle" : "", "parse-names" : false, "suffix" : "" }, { "dropping-particle" : "", "family" : "Francis", "given" : "Howard W", "non-dropping-particle" : "", "parse-names" : false, "suffix" : "" } ], "container-title" : "Journal Am Geriatr Soc.", "id" : "ITEM-1", "issue" : "10", "issued" : { "date-parts" : [ [ "2012" ] ] }, "page" : "1936-1945", "title" : "Cochlear Implant rehabilitation in Older Adults: Literature Review and Proposal of a Conceptual Framework", "type" : "article-journal", "volume" : "60" }, "uris" : [ "http://www.mendeley.com/documents/?uuid=a987196f-6ea6-4b78-9a66-b68e02066aa9" ] } ], "mendeley" : { "formattedCitation" : "&lt;sup&gt;15&lt;/sup&gt;", "plainTextFormattedCitation" : "15", "previouslyFormattedCitation" : "&lt;sup&gt;15&lt;/sup&gt;" }, "properties" : { "noteIndex" : 0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15</w:t>
      </w:r>
      <w:r w:rsidRPr="00E50C09">
        <w:rPr>
          <w:rFonts w:ascii="Arial" w:hAnsi="Arial" w:cs="Arial"/>
          <w:lang w:val="es-ES"/>
        </w:rPr>
        <w:fldChar w:fldCharType="end"/>
      </w:r>
    </w:p>
    <w:p w14:paraId="15494C78" w14:textId="77777777" w:rsidR="00E50C09" w:rsidRPr="00E50C09" w:rsidRDefault="00E50C09" w:rsidP="00E50C09">
      <w:pPr>
        <w:jc w:val="both"/>
        <w:rPr>
          <w:rFonts w:ascii="Arial" w:hAnsi="Arial" w:cs="Arial"/>
          <w:lang w:val="es-ES"/>
        </w:rPr>
      </w:pPr>
    </w:p>
    <w:p w14:paraId="3807666B" w14:textId="77777777" w:rsidR="00E50C09" w:rsidRPr="00E50C09" w:rsidRDefault="00E50C09" w:rsidP="00E50C09">
      <w:pPr>
        <w:jc w:val="both"/>
        <w:rPr>
          <w:rFonts w:ascii="Arial" w:hAnsi="Arial" w:cs="Arial"/>
          <w:lang w:val="es-ES"/>
        </w:rPr>
      </w:pPr>
      <w:r w:rsidRPr="00E50C09">
        <w:rPr>
          <w:rFonts w:ascii="Arial" w:hAnsi="Arial" w:cs="Arial"/>
          <w:lang w:val="es-ES"/>
        </w:rPr>
        <w:t xml:space="preserve">El presente estudio, busco </w:t>
      </w:r>
      <w:r w:rsidRPr="00E50C09">
        <w:rPr>
          <w:rFonts w:ascii="Arial" w:eastAsia="Times New Roman" w:hAnsi="Arial" w:cs="Arial"/>
          <w:color w:val="000000" w:themeColor="text1"/>
          <w:lang w:val="es-ES"/>
        </w:rPr>
        <w:t xml:space="preserve">Determinar las diferencias en los resultados de las pruebas de audiometría y </w:t>
      </w:r>
      <w:proofErr w:type="spellStart"/>
      <w:r w:rsidRPr="00E50C09">
        <w:rPr>
          <w:rFonts w:ascii="Arial" w:eastAsia="Times New Roman" w:hAnsi="Arial" w:cs="Arial"/>
          <w:color w:val="000000" w:themeColor="text1"/>
          <w:lang w:val="es-ES"/>
        </w:rPr>
        <w:t>logoaudiometría</w:t>
      </w:r>
      <w:proofErr w:type="spellEnd"/>
      <w:r w:rsidRPr="00E50C09">
        <w:rPr>
          <w:rFonts w:ascii="Arial" w:eastAsia="Times New Roman" w:hAnsi="Arial" w:cs="Arial"/>
          <w:color w:val="000000" w:themeColor="text1"/>
          <w:lang w:val="es-ES"/>
        </w:rPr>
        <w:t xml:space="preserve"> antes y a los 6 y 12 meses posteriores al implante coclear en pacientes mayores de 65 años en el Hospital Universitario Clínica San Rafael. </w:t>
      </w:r>
    </w:p>
    <w:p w14:paraId="0EF0F403" w14:textId="77777777" w:rsidR="00E50C09" w:rsidRPr="00E50C09" w:rsidRDefault="00E50C09" w:rsidP="00E50C09">
      <w:pPr>
        <w:pStyle w:val="Ttulo1"/>
        <w:rPr>
          <w:rFonts w:ascii="Arial" w:hAnsi="Arial" w:cs="Arial"/>
          <w:color w:val="auto"/>
          <w:sz w:val="24"/>
          <w:szCs w:val="24"/>
        </w:rPr>
      </w:pPr>
      <w:r w:rsidRPr="00E50C09">
        <w:rPr>
          <w:rFonts w:ascii="Arial" w:hAnsi="Arial" w:cs="Arial"/>
          <w:color w:val="auto"/>
          <w:sz w:val="24"/>
          <w:szCs w:val="24"/>
        </w:rPr>
        <w:lastRenderedPageBreak/>
        <w:t>Materiales y Métodos</w:t>
      </w:r>
    </w:p>
    <w:p w14:paraId="7A84E7B0" w14:textId="77777777" w:rsidR="00E50C09" w:rsidRPr="00E50C09" w:rsidRDefault="00E50C09" w:rsidP="00E50C09"/>
    <w:p w14:paraId="4CCDC219" w14:textId="4D9C62F4" w:rsidR="00E50C09" w:rsidRPr="00E50C09" w:rsidRDefault="00E50C09" w:rsidP="00E50C09">
      <w:pPr>
        <w:jc w:val="both"/>
        <w:rPr>
          <w:rFonts w:ascii="Arial" w:hAnsi="Arial" w:cs="Arial"/>
          <w:lang w:val="es-ES"/>
        </w:rPr>
      </w:pPr>
      <w:r w:rsidRPr="00E50C09">
        <w:rPr>
          <w:rFonts w:ascii="Arial" w:hAnsi="Arial" w:cs="Arial"/>
          <w:lang w:val="es-ES"/>
        </w:rPr>
        <w:t xml:space="preserve">Se realizó un estudio de descriptivo de corte transversal, tomando datos </w:t>
      </w:r>
      <w:proofErr w:type="spellStart"/>
      <w:r w:rsidRPr="00E50C09">
        <w:rPr>
          <w:rFonts w:ascii="Arial" w:hAnsi="Arial" w:cs="Arial"/>
          <w:lang w:val="es-ES"/>
        </w:rPr>
        <w:t>datos</w:t>
      </w:r>
      <w:proofErr w:type="spellEnd"/>
      <w:r w:rsidRPr="00E50C09">
        <w:rPr>
          <w:rFonts w:ascii="Arial" w:hAnsi="Arial" w:cs="Arial"/>
          <w:lang w:val="es-ES"/>
        </w:rPr>
        <w:t xml:space="preserve"> de la historia clínica: promedio de</w:t>
      </w:r>
      <w:r w:rsidR="00572131">
        <w:rPr>
          <w:rFonts w:ascii="Arial" w:hAnsi="Arial" w:cs="Arial"/>
          <w:lang w:val="es-ES"/>
        </w:rPr>
        <w:t xml:space="preserve"> tonos puros del habla (PTA</w:t>
      </w:r>
      <w:r w:rsidRPr="00E50C09">
        <w:rPr>
          <w:rFonts w:ascii="Arial" w:hAnsi="Arial" w:cs="Arial"/>
          <w:lang w:val="es-ES"/>
        </w:rPr>
        <w:t xml:space="preserve">) por audiometría y porcentaje de discriminación del lenguaje (SD) por </w:t>
      </w:r>
      <w:proofErr w:type="spellStart"/>
      <w:r w:rsidRPr="00E50C09">
        <w:rPr>
          <w:rFonts w:ascii="Arial" w:hAnsi="Arial" w:cs="Arial"/>
          <w:lang w:val="es-ES"/>
        </w:rPr>
        <w:t>logoaudiometría</w:t>
      </w:r>
      <w:proofErr w:type="spellEnd"/>
      <w:r w:rsidRPr="00E50C09">
        <w:rPr>
          <w:rFonts w:ascii="Arial" w:hAnsi="Arial" w:cs="Arial"/>
          <w:lang w:val="es-ES"/>
        </w:rPr>
        <w:t xml:space="preserve"> en pacientes con diagnóstico de hipoacusia </w:t>
      </w:r>
      <w:proofErr w:type="spellStart"/>
      <w:r w:rsidRPr="00E50C09">
        <w:rPr>
          <w:rFonts w:ascii="Arial" w:hAnsi="Arial" w:cs="Arial"/>
          <w:lang w:val="es-ES"/>
        </w:rPr>
        <w:t>neurosonsorial</w:t>
      </w:r>
      <w:proofErr w:type="spellEnd"/>
      <w:r w:rsidRPr="00E50C09">
        <w:rPr>
          <w:rFonts w:ascii="Arial" w:hAnsi="Arial" w:cs="Arial"/>
          <w:lang w:val="es-ES"/>
        </w:rPr>
        <w:t xml:space="preserve"> severa profunda unilateral previo al tratamiento quirúrgico con implante coclear y su respectivo control entre los 6 y 12 meses posterior la inserción quirúrgica del mismo, en pacientes mayores de 65 años que asisten a la consulta de Otología del Hospital Universitario Clínica San Rafael  desde 2006 hasta 2016. Se realizó un muestreo no probabilístico por conveniencia, con un tamaño de muestra de 30 pacientes para una prevalencia de la enfermedad y tratamiento del 2%. Se recolectaron los datos en un instrumento de recolección de datos en </w:t>
      </w:r>
      <w:r w:rsidRPr="00E50C09">
        <w:rPr>
          <w:rFonts w:ascii="Arial" w:hAnsi="Arial" w:cs="Arial"/>
          <w:i/>
          <w:lang w:val="es-ES"/>
        </w:rPr>
        <w:t>Excel versión 15.17</w:t>
      </w:r>
      <w:r w:rsidRPr="00E50C09">
        <w:rPr>
          <w:rFonts w:ascii="Arial" w:hAnsi="Arial" w:cs="Arial"/>
          <w:lang w:val="es-ES"/>
        </w:rPr>
        <w:t xml:space="preserve"> con todas las variables a medir (edad, lateralidad, ID paciente, etiología, tipo de dispositivo y resultados </w:t>
      </w:r>
      <w:proofErr w:type="spellStart"/>
      <w:r w:rsidRPr="00E50C09">
        <w:rPr>
          <w:rFonts w:ascii="Arial" w:hAnsi="Arial" w:cs="Arial"/>
          <w:lang w:val="es-ES"/>
        </w:rPr>
        <w:t>audiométricos</w:t>
      </w:r>
      <w:proofErr w:type="spellEnd"/>
      <w:r w:rsidRPr="00E50C09">
        <w:rPr>
          <w:rFonts w:ascii="Arial" w:hAnsi="Arial" w:cs="Arial"/>
          <w:lang w:val="es-ES"/>
        </w:rPr>
        <w:t xml:space="preserve"> pre y post quirúrgicos) previamente codificados. Para proteger los datos estas bases fueron protegidas por un código de acceso el cual solo era conocido por los investigadores principales y estas se encontraron en los computadores personales del personal de investigación. </w:t>
      </w:r>
    </w:p>
    <w:p w14:paraId="0C9C1CF7" w14:textId="77777777" w:rsidR="00E50C09" w:rsidRPr="00E50C09" w:rsidRDefault="00E50C09" w:rsidP="00E50C09">
      <w:pPr>
        <w:jc w:val="both"/>
        <w:rPr>
          <w:rFonts w:ascii="Arial" w:hAnsi="Arial" w:cs="Arial"/>
          <w:lang w:val="es-ES"/>
        </w:rPr>
      </w:pPr>
    </w:p>
    <w:p w14:paraId="5C0FE813" w14:textId="77777777" w:rsidR="00E50C09" w:rsidRPr="00E50C09" w:rsidRDefault="00E50C09" w:rsidP="00E50C09">
      <w:pPr>
        <w:jc w:val="both"/>
        <w:rPr>
          <w:rFonts w:ascii="Arial" w:hAnsi="Arial" w:cs="Arial"/>
          <w:lang w:val="es-ES"/>
        </w:rPr>
      </w:pPr>
      <w:r w:rsidRPr="00E50C09">
        <w:rPr>
          <w:rFonts w:ascii="Arial" w:hAnsi="Arial" w:cs="Arial"/>
          <w:lang w:val="es-ES"/>
        </w:rPr>
        <w:t>Se realizó un análisis de las variables por medidas de tendencia central y de dispersión para aquellas variables cuantitativas. En análisis de las variables cualitativas se realizó por medio de frecuencias y porcentajes. Se realizaron pruebas de bondad de ajuste normal (p=0.05) (</w:t>
      </w:r>
      <w:proofErr w:type="spellStart"/>
      <w:r w:rsidRPr="00E50C09">
        <w:rPr>
          <w:rFonts w:ascii="Arial" w:hAnsi="Arial" w:cs="Arial"/>
          <w:lang w:val="es-ES"/>
        </w:rPr>
        <w:t>kolmogorov-smirnov</w:t>
      </w:r>
      <w:proofErr w:type="spellEnd"/>
      <w:r w:rsidRPr="00E50C09">
        <w:rPr>
          <w:rFonts w:ascii="Arial" w:hAnsi="Arial" w:cs="Arial"/>
          <w:lang w:val="es-ES"/>
        </w:rPr>
        <w:t xml:space="preserve">) y diagramas de distribución normal para cada una de las variables. Para aquellas variables con distribución no normal cuantitativas se reportaron medianas y los cuartiles. Para el análisis </w:t>
      </w:r>
      <w:proofErr w:type="spellStart"/>
      <w:r w:rsidRPr="00E50C09">
        <w:rPr>
          <w:rFonts w:ascii="Arial" w:hAnsi="Arial" w:cs="Arial"/>
          <w:lang w:val="es-ES"/>
        </w:rPr>
        <w:t>bivariado</w:t>
      </w:r>
      <w:proofErr w:type="spellEnd"/>
      <w:r w:rsidRPr="00E50C09">
        <w:rPr>
          <w:rFonts w:ascii="Arial" w:hAnsi="Arial" w:cs="Arial"/>
          <w:lang w:val="es-ES"/>
        </w:rPr>
        <w:t xml:space="preserve"> se realizó una matriz de datos conteniendo las observaciones relacionadas con las pruebas audiológicas de cada paciente formado pares antes y después del implante coclear. Aquellas variables cuantitativas de distribución normal se analizaron por medio de una comparación de medias utilizando la prueba t-</w:t>
      </w:r>
      <w:proofErr w:type="spellStart"/>
      <w:r w:rsidRPr="00E50C09">
        <w:rPr>
          <w:rFonts w:ascii="Arial" w:hAnsi="Arial" w:cs="Arial"/>
          <w:lang w:val="es-ES"/>
        </w:rPr>
        <w:t>student</w:t>
      </w:r>
      <w:proofErr w:type="spellEnd"/>
      <w:r w:rsidRPr="00E50C09">
        <w:rPr>
          <w:rFonts w:ascii="Arial" w:hAnsi="Arial" w:cs="Arial"/>
          <w:lang w:val="es-ES"/>
        </w:rPr>
        <w:t xml:space="preserve"> para muestras relacionadas y las variables con distribución no normal se </w:t>
      </w:r>
      <w:proofErr w:type="gramStart"/>
      <w:r w:rsidRPr="00E50C09">
        <w:rPr>
          <w:rFonts w:ascii="Arial" w:hAnsi="Arial" w:cs="Arial"/>
          <w:lang w:val="es-ES"/>
        </w:rPr>
        <w:t>realizó</w:t>
      </w:r>
      <w:proofErr w:type="gramEnd"/>
      <w:r w:rsidRPr="00E50C09">
        <w:rPr>
          <w:rFonts w:ascii="Arial" w:hAnsi="Arial" w:cs="Arial"/>
          <w:lang w:val="es-ES"/>
        </w:rPr>
        <w:t xml:space="preserve"> una comparación de medianas por medio de una prueba de </w:t>
      </w:r>
      <w:proofErr w:type="spellStart"/>
      <w:r w:rsidRPr="00E50C09">
        <w:rPr>
          <w:rFonts w:ascii="Arial" w:hAnsi="Arial" w:cs="Arial"/>
          <w:lang w:val="es-ES"/>
        </w:rPr>
        <w:t>Wilcoxon</w:t>
      </w:r>
      <w:proofErr w:type="spellEnd"/>
      <w:r w:rsidRPr="00E50C09">
        <w:rPr>
          <w:rFonts w:ascii="Arial" w:hAnsi="Arial" w:cs="Arial"/>
          <w:lang w:val="es-ES"/>
        </w:rPr>
        <w:t xml:space="preserve">. El análisis de las variables cualitativas será por medio de </w:t>
      </w:r>
      <w:proofErr w:type="spellStart"/>
      <w:r w:rsidRPr="00E50C09">
        <w:rPr>
          <w:rFonts w:ascii="Arial" w:hAnsi="Arial" w:cs="Arial"/>
          <w:lang w:val="es-ES"/>
        </w:rPr>
        <w:t>chi</w:t>
      </w:r>
      <w:proofErr w:type="spellEnd"/>
      <w:r w:rsidRPr="00E50C09">
        <w:rPr>
          <w:rFonts w:ascii="Arial" w:hAnsi="Arial" w:cs="Arial"/>
          <w:lang w:val="es-ES"/>
        </w:rPr>
        <w:t xml:space="preserve">-cuadrado de Pearson (valores esperados &gt;5) o Fisher (valor esperado &lt;5). Se utilizó el OR y sus respectivos intervalos de confianza al 95% (IC95%). Adicionalmente, se realizó una correlación de Pearson para el análisis </w:t>
      </w:r>
      <w:proofErr w:type="spellStart"/>
      <w:r w:rsidRPr="00E50C09">
        <w:rPr>
          <w:rFonts w:ascii="Arial" w:hAnsi="Arial" w:cs="Arial"/>
          <w:lang w:val="es-ES"/>
        </w:rPr>
        <w:t>bivariado</w:t>
      </w:r>
      <w:proofErr w:type="spellEnd"/>
      <w:r w:rsidRPr="00E50C09">
        <w:rPr>
          <w:rFonts w:ascii="Arial" w:hAnsi="Arial" w:cs="Arial"/>
          <w:lang w:val="es-ES"/>
        </w:rPr>
        <w:t xml:space="preserve"> de las variables cuantitativas vs cuantitativas. Aquellas variables con significancia estadística fueron evaluadas por medio de una regresión lineal. Los análisis estadísticos se realizaron por medio del paquete estadísticos para las ciencias sociales (</w:t>
      </w:r>
      <w:r w:rsidRPr="00E50C09">
        <w:rPr>
          <w:rFonts w:ascii="Arial" w:hAnsi="Arial" w:cs="Arial"/>
          <w:i/>
          <w:lang w:val="es-ES"/>
        </w:rPr>
        <w:t>SPSS v.20</w:t>
      </w:r>
      <w:r w:rsidRPr="00E50C09">
        <w:rPr>
          <w:rFonts w:ascii="Arial" w:hAnsi="Arial" w:cs="Arial"/>
          <w:lang w:val="es-ES"/>
        </w:rPr>
        <w:t xml:space="preserve">, Chicago, IL). Se estableció un error alfa de 0.5, un ß del 80% y un intervalo de confianza del 95% determinando una </w:t>
      </w:r>
      <w:r w:rsidRPr="00E50C09">
        <w:rPr>
          <w:rFonts w:ascii="Arial" w:hAnsi="Arial" w:cs="Arial"/>
          <w:i/>
          <w:lang w:val="es-ES"/>
        </w:rPr>
        <w:t>p</w:t>
      </w:r>
      <w:r w:rsidRPr="00E50C09">
        <w:rPr>
          <w:rFonts w:ascii="Arial" w:hAnsi="Arial" w:cs="Arial"/>
          <w:lang w:val="es-ES"/>
        </w:rPr>
        <w:t xml:space="preserve"> estadísticamente significativa como aquella menor de 0.05. </w:t>
      </w:r>
    </w:p>
    <w:p w14:paraId="69471184" w14:textId="77777777" w:rsidR="00E50C09" w:rsidRPr="00E50C09" w:rsidRDefault="00E50C09" w:rsidP="00E50C09">
      <w:pPr>
        <w:jc w:val="both"/>
        <w:rPr>
          <w:rFonts w:ascii="Arial" w:hAnsi="Arial" w:cs="Arial"/>
          <w:lang w:val="es-ES"/>
        </w:rPr>
      </w:pPr>
    </w:p>
    <w:p w14:paraId="6677F561" w14:textId="77777777" w:rsidR="00E50C09" w:rsidRPr="00E50C09" w:rsidRDefault="00E50C09" w:rsidP="00E50C09">
      <w:pPr>
        <w:jc w:val="both"/>
        <w:rPr>
          <w:rFonts w:ascii="Arial" w:hAnsi="Arial" w:cs="Arial"/>
          <w:lang w:val="es-ES"/>
        </w:rPr>
      </w:pPr>
      <w:r w:rsidRPr="00E50C09">
        <w:rPr>
          <w:rFonts w:ascii="Arial" w:hAnsi="Arial" w:cs="Arial"/>
          <w:lang w:val="es-ES"/>
        </w:rPr>
        <w:t xml:space="preserve">Este estudio se realizó dentro de las normas éticas que tienen su principio en la última versión oficial de la declaración de Helsinki y cumplió con lo estipulado en la Resolución 008430/1993 por el Ministerio de Salud de la República de Colombia, catalogándola como una investigación sin riesgo por lo cual no se requirió el consentimiento informado. Se contó con aprobación del comité de ética institucional. </w:t>
      </w:r>
    </w:p>
    <w:p w14:paraId="54EC1DC1" w14:textId="77777777" w:rsidR="0009217B" w:rsidRDefault="0009217B" w:rsidP="00E50C09">
      <w:pPr>
        <w:pStyle w:val="Ttulo1"/>
        <w:rPr>
          <w:rFonts w:ascii="Arial" w:hAnsi="Arial" w:cs="Arial"/>
          <w:color w:val="auto"/>
          <w:sz w:val="24"/>
          <w:szCs w:val="24"/>
        </w:rPr>
      </w:pPr>
    </w:p>
    <w:p w14:paraId="230D70D1" w14:textId="77777777" w:rsidR="00E50C09" w:rsidRPr="00E50C09" w:rsidRDefault="00E50C09" w:rsidP="00E50C09">
      <w:pPr>
        <w:pStyle w:val="Ttulo1"/>
        <w:rPr>
          <w:rFonts w:ascii="Arial" w:hAnsi="Arial" w:cs="Arial"/>
          <w:color w:val="auto"/>
          <w:sz w:val="24"/>
          <w:szCs w:val="24"/>
        </w:rPr>
      </w:pPr>
      <w:r w:rsidRPr="00E50C09">
        <w:rPr>
          <w:rFonts w:ascii="Arial" w:hAnsi="Arial" w:cs="Arial"/>
          <w:color w:val="auto"/>
          <w:sz w:val="24"/>
          <w:szCs w:val="24"/>
        </w:rPr>
        <w:t>Resultados</w:t>
      </w:r>
    </w:p>
    <w:p w14:paraId="03C6CB87" w14:textId="77777777" w:rsidR="00E50C09" w:rsidRDefault="00E50C09" w:rsidP="00E50C09"/>
    <w:p w14:paraId="41F1C034" w14:textId="52349E9B" w:rsidR="00E50C09" w:rsidRDefault="00E50C09" w:rsidP="00E50C09">
      <w:pPr>
        <w:jc w:val="both"/>
        <w:rPr>
          <w:rFonts w:ascii="Arial" w:hAnsi="Arial" w:cs="Arial"/>
        </w:rPr>
      </w:pPr>
      <w:r w:rsidRPr="00FF6D0C">
        <w:rPr>
          <w:rFonts w:ascii="Arial" w:hAnsi="Arial" w:cs="Arial"/>
        </w:rPr>
        <w:t xml:space="preserve">Se encontraron un total de 33 pacientes, </w:t>
      </w:r>
      <w:r>
        <w:rPr>
          <w:rFonts w:ascii="Arial" w:hAnsi="Arial" w:cs="Arial"/>
        </w:rPr>
        <w:t xml:space="preserve">de los cuales el 60.6% eran del género masculino y el 39.4% del género femenino. Un 60.6% de los pacientes no tenían etiología clara </w:t>
      </w:r>
      <w:proofErr w:type="gramStart"/>
      <w:r>
        <w:rPr>
          <w:rFonts w:ascii="Arial" w:hAnsi="Arial" w:cs="Arial"/>
        </w:rPr>
        <w:t xml:space="preserve">( </w:t>
      </w:r>
      <w:proofErr w:type="spellStart"/>
      <w:r>
        <w:rPr>
          <w:rFonts w:ascii="Arial" w:hAnsi="Arial" w:cs="Arial"/>
        </w:rPr>
        <w:t>presbiacusia</w:t>
      </w:r>
      <w:proofErr w:type="spellEnd"/>
      <w:proofErr w:type="gramEnd"/>
      <w:r>
        <w:rPr>
          <w:rFonts w:ascii="Arial" w:hAnsi="Arial" w:cs="Arial"/>
        </w:rPr>
        <w:t xml:space="preserve">), seguidos de un 18.2% con exposición al ruido, un 6.1% de tipo familiar, viral o por </w:t>
      </w:r>
      <w:proofErr w:type="spellStart"/>
      <w:r>
        <w:rPr>
          <w:rFonts w:ascii="Arial" w:hAnsi="Arial" w:cs="Arial"/>
        </w:rPr>
        <w:t>otoesclerosis</w:t>
      </w:r>
      <w:proofErr w:type="spellEnd"/>
      <w:r>
        <w:rPr>
          <w:rFonts w:ascii="Arial" w:hAnsi="Arial" w:cs="Arial"/>
        </w:rPr>
        <w:t xml:space="preserve"> y </w:t>
      </w:r>
      <w:r w:rsidR="00524CAB">
        <w:rPr>
          <w:rFonts w:ascii="Arial" w:hAnsi="Arial" w:cs="Arial"/>
        </w:rPr>
        <w:t xml:space="preserve">un 3% por </w:t>
      </w:r>
      <w:proofErr w:type="spellStart"/>
      <w:r w:rsidR="00524CAB">
        <w:rPr>
          <w:rFonts w:ascii="Arial" w:hAnsi="Arial" w:cs="Arial"/>
        </w:rPr>
        <w:t>ototoxicidad</w:t>
      </w:r>
      <w:proofErr w:type="spellEnd"/>
      <w:r w:rsidR="00524CAB">
        <w:rPr>
          <w:rFonts w:ascii="Arial" w:hAnsi="Arial" w:cs="Arial"/>
        </w:rPr>
        <w:t>. (</w:t>
      </w:r>
      <w:proofErr w:type="gramStart"/>
      <w:r w:rsidR="00524CAB">
        <w:rPr>
          <w:rFonts w:ascii="Arial" w:hAnsi="Arial" w:cs="Arial"/>
        </w:rPr>
        <w:t>tabla</w:t>
      </w:r>
      <w:proofErr w:type="gramEnd"/>
      <w:r w:rsidR="00524CAB">
        <w:rPr>
          <w:rFonts w:ascii="Arial" w:hAnsi="Arial" w:cs="Arial"/>
        </w:rPr>
        <w:t xml:space="preserve"> 2</w:t>
      </w:r>
      <w:r>
        <w:rPr>
          <w:rFonts w:ascii="Arial" w:hAnsi="Arial" w:cs="Arial"/>
        </w:rPr>
        <w:t xml:space="preserve">). </w:t>
      </w:r>
    </w:p>
    <w:p w14:paraId="3021AE9C" w14:textId="77777777" w:rsidR="00524CAB" w:rsidRDefault="00524CAB" w:rsidP="00E50C09">
      <w:pPr>
        <w:jc w:val="both"/>
        <w:rPr>
          <w:rFonts w:ascii="Arial" w:hAnsi="Arial" w:cs="Arial"/>
        </w:rPr>
      </w:pPr>
    </w:p>
    <w:p w14:paraId="72675F2F" w14:textId="33E727EF" w:rsidR="00E50C09" w:rsidRPr="009B6112" w:rsidRDefault="00524CAB" w:rsidP="00E50C09">
      <w:pPr>
        <w:jc w:val="center"/>
        <w:rPr>
          <w:rStyle w:val="Ttulo1Car"/>
          <w:rFonts w:cs="Arial"/>
          <w:b w:val="0"/>
        </w:rPr>
      </w:pPr>
      <w:r>
        <w:rPr>
          <w:rFonts w:ascii="Arial" w:hAnsi="Arial" w:cs="Arial"/>
        </w:rPr>
        <w:t>Tabla 2</w:t>
      </w:r>
      <w:r w:rsidR="00E50C09">
        <w:rPr>
          <w:rFonts w:ascii="Arial" w:hAnsi="Arial" w:cs="Arial"/>
        </w:rPr>
        <w:t xml:space="preserve">. </w:t>
      </w:r>
      <w:bookmarkStart w:id="1" w:name="OLE_LINK3"/>
      <w:r w:rsidR="00E50C09">
        <w:rPr>
          <w:rFonts w:ascii="Arial" w:hAnsi="Arial" w:cs="Arial"/>
        </w:rPr>
        <w:t>Características poblaciones de las variables cualitativas.</w:t>
      </w:r>
      <w:bookmarkStart w:id="2" w:name="OLE_LINK6"/>
    </w:p>
    <w:tbl>
      <w:tblPr>
        <w:tblStyle w:val="GridTable3-Accent11"/>
        <w:tblW w:w="6340" w:type="dxa"/>
        <w:jc w:val="center"/>
        <w:tblLook w:val="04A0" w:firstRow="1" w:lastRow="0" w:firstColumn="1" w:lastColumn="0" w:noHBand="0" w:noVBand="1"/>
      </w:tblPr>
      <w:tblGrid>
        <w:gridCol w:w="3600"/>
        <w:gridCol w:w="1600"/>
        <w:gridCol w:w="1292"/>
      </w:tblGrid>
      <w:tr w:rsidR="00E50C09" w:rsidRPr="00B52FC2" w14:paraId="32A69E24" w14:textId="77777777" w:rsidTr="00E50C09">
        <w:trPr>
          <w:cnfStyle w:val="100000000000" w:firstRow="1" w:lastRow="0" w:firstColumn="0" w:lastColumn="0" w:oddVBand="0" w:evenVBand="0" w:oddHBand="0" w:evenHBand="0" w:firstRowFirstColumn="0" w:firstRowLastColumn="0" w:lastRowFirstColumn="0" w:lastRowLastColumn="0"/>
          <w:trHeight w:val="640"/>
          <w:jc w:val="center"/>
        </w:trPr>
        <w:tc>
          <w:tcPr>
            <w:cnfStyle w:val="001000000100" w:firstRow="0" w:lastRow="0" w:firstColumn="1" w:lastColumn="0" w:oddVBand="0" w:evenVBand="0" w:oddHBand="0" w:evenHBand="0" w:firstRowFirstColumn="1" w:firstRowLastColumn="0" w:lastRowFirstColumn="0" w:lastRowLastColumn="0"/>
            <w:tcW w:w="3600" w:type="dxa"/>
            <w:noWrap/>
            <w:hideMark/>
          </w:tcPr>
          <w:p w14:paraId="02BB752E" w14:textId="77777777" w:rsidR="00E50C09" w:rsidRPr="00B52FC2" w:rsidRDefault="00E50C09" w:rsidP="00E50C09">
            <w:pPr>
              <w:rPr>
                <w:sz w:val="20"/>
                <w:szCs w:val="20"/>
                <w:lang w:val="es-ES"/>
              </w:rPr>
            </w:pPr>
            <w:bookmarkStart w:id="3" w:name="OLE_LINK2"/>
          </w:p>
        </w:tc>
        <w:tc>
          <w:tcPr>
            <w:tcW w:w="1600" w:type="dxa"/>
            <w:noWrap/>
            <w:hideMark/>
          </w:tcPr>
          <w:p w14:paraId="6C8B16C9" w14:textId="77777777" w:rsidR="00E50C09" w:rsidRPr="00B52FC2" w:rsidRDefault="00E50C09" w:rsidP="00E50C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lang w:val="es-ES"/>
              </w:rPr>
            </w:pPr>
            <w:r w:rsidRPr="00B52FC2">
              <w:rPr>
                <w:rFonts w:ascii="Calibri" w:eastAsia="Times New Roman" w:hAnsi="Calibri"/>
                <w:color w:val="000000"/>
                <w:lang w:val="es-ES"/>
              </w:rPr>
              <w:t>Frecuencia (n)</w:t>
            </w:r>
          </w:p>
        </w:tc>
        <w:tc>
          <w:tcPr>
            <w:tcW w:w="1140" w:type="dxa"/>
            <w:hideMark/>
          </w:tcPr>
          <w:p w14:paraId="2EF61C40" w14:textId="77777777" w:rsidR="00E50C09" w:rsidRPr="00B52FC2" w:rsidRDefault="00E50C09" w:rsidP="00E50C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lang w:val="es-ES"/>
              </w:rPr>
            </w:pPr>
            <w:r w:rsidRPr="00B52FC2">
              <w:rPr>
                <w:rFonts w:ascii="Calibri" w:eastAsia="Times New Roman" w:hAnsi="Calibri"/>
                <w:color w:val="000000"/>
                <w:lang w:val="es-ES"/>
              </w:rPr>
              <w:t>Porcentaje (%)</w:t>
            </w:r>
          </w:p>
        </w:tc>
      </w:tr>
      <w:tr w:rsidR="00E50C09" w:rsidRPr="00B52FC2" w14:paraId="4BA2A967"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40" w:type="dxa"/>
            <w:gridSpan w:val="3"/>
            <w:noWrap/>
            <w:hideMark/>
          </w:tcPr>
          <w:p w14:paraId="3D0D8B38" w14:textId="77777777" w:rsidR="00E50C09" w:rsidRPr="00B52FC2" w:rsidRDefault="00E50C09" w:rsidP="00E50C09">
            <w:pPr>
              <w:rPr>
                <w:rFonts w:eastAsia="Times New Roman"/>
                <w:b/>
                <w:bCs/>
                <w:color w:val="000000"/>
                <w:lang w:val="es-ES"/>
              </w:rPr>
            </w:pPr>
            <w:r w:rsidRPr="00B52FC2">
              <w:rPr>
                <w:rFonts w:eastAsia="Times New Roman"/>
                <w:b/>
                <w:bCs/>
                <w:color w:val="000000"/>
                <w:lang w:val="es-ES"/>
              </w:rPr>
              <w:t>GENERO</w:t>
            </w:r>
          </w:p>
        </w:tc>
      </w:tr>
      <w:tr w:rsidR="00E50C09" w:rsidRPr="00B52FC2" w14:paraId="29D091A8"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A49A7E4" w14:textId="77777777" w:rsidR="00E50C09" w:rsidRPr="00B52FC2" w:rsidRDefault="00E50C09" w:rsidP="00E50C09">
            <w:pPr>
              <w:rPr>
                <w:rFonts w:eastAsia="Times New Roman"/>
                <w:color w:val="000000"/>
                <w:lang w:val="es-ES"/>
              </w:rPr>
            </w:pPr>
            <w:r w:rsidRPr="00B52FC2">
              <w:rPr>
                <w:rFonts w:eastAsia="Times New Roman"/>
                <w:color w:val="000000"/>
                <w:lang w:val="es-ES"/>
              </w:rPr>
              <w:t>Masculino</w:t>
            </w:r>
          </w:p>
        </w:tc>
        <w:tc>
          <w:tcPr>
            <w:tcW w:w="1600" w:type="dxa"/>
            <w:noWrap/>
            <w:hideMark/>
          </w:tcPr>
          <w:p w14:paraId="36BA96A4"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20</w:t>
            </w:r>
          </w:p>
        </w:tc>
        <w:tc>
          <w:tcPr>
            <w:tcW w:w="1140" w:type="dxa"/>
            <w:noWrap/>
            <w:hideMark/>
          </w:tcPr>
          <w:p w14:paraId="2F31EFFD"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60.6</w:t>
            </w:r>
          </w:p>
        </w:tc>
      </w:tr>
      <w:tr w:rsidR="00E50C09" w:rsidRPr="00B52FC2" w14:paraId="258D6C5C"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1709E37" w14:textId="77777777" w:rsidR="00E50C09" w:rsidRPr="00B52FC2" w:rsidRDefault="00E50C09" w:rsidP="00E50C09">
            <w:pPr>
              <w:rPr>
                <w:rFonts w:eastAsia="Times New Roman"/>
                <w:color w:val="000000"/>
                <w:lang w:val="es-ES"/>
              </w:rPr>
            </w:pPr>
            <w:r w:rsidRPr="00B52FC2">
              <w:rPr>
                <w:rFonts w:eastAsia="Times New Roman"/>
                <w:color w:val="000000"/>
                <w:lang w:val="es-ES"/>
              </w:rPr>
              <w:t>Femenino</w:t>
            </w:r>
          </w:p>
        </w:tc>
        <w:tc>
          <w:tcPr>
            <w:tcW w:w="1600" w:type="dxa"/>
            <w:noWrap/>
            <w:hideMark/>
          </w:tcPr>
          <w:p w14:paraId="18728910"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13</w:t>
            </w:r>
          </w:p>
        </w:tc>
        <w:tc>
          <w:tcPr>
            <w:tcW w:w="1140" w:type="dxa"/>
            <w:noWrap/>
            <w:hideMark/>
          </w:tcPr>
          <w:p w14:paraId="7D00DF8F"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39.4</w:t>
            </w:r>
          </w:p>
        </w:tc>
      </w:tr>
      <w:tr w:rsidR="00E50C09" w:rsidRPr="00B52FC2" w14:paraId="5BED965D"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6340" w:type="dxa"/>
            <w:gridSpan w:val="3"/>
            <w:noWrap/>
            <w:hideMark/>
          </w:tcPr>
          <w:p w14:paraId="3D82BF31" w14:textId="77777777" w:rsidR="00E50C09" w:rsidRPr="00B52FC2" w:rsidRDefault="00E50C09" w:rsidP="00E50C09">
            <w:pPr>
              <w:rPr>
                <w:rFonts w:eastAsia="Times New Roman"/>
                <w:b/>
                <w:bCs/>
                <w:color w:val="000000"/>
                <w:lang w:val="es-ES"/>
              </w:rPr>
            </w:pPr>
            <w:r w:rsidRPr="00B52FC2">
              <w:rPr>
                <w:rFonts w:eastAsia="Times New Roman"/>
                <w:b/>
                <w:bCs/>
                <w:color w:val="000000"/>
                <w:lang w:val="es-ES"/>
              </w:rPr>
              <w:t>LATERALIDAD</w:t>
            </w:r>
          </w:p>
        </w:tc>
      </w:tr>
      <w:tr w:rsidR="00E50C09" w:rsidRPr="00B52FC2" w14:paraId="230BFE27"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4AE4647" w14:textId="77777777" w:rsidR="00E50C09" w:rsidRPr="00B52FC2" w:rsidRDefault="00E50C09" w:rsidP="00E50C09">
            <w:pPr>
              <w:rPr>
                <w:rFonts w:eastAsia="Times New Roman"/>
                <w:color w:val="000000"/>
                <w:lang w:val="es-ES"/>
              </w:rPr>
            </w:pPr>
            <w:r w:rsidRPr="00B52FC2">
              <w:rPr>
                <w:rFonts w:eastAsia="Times New Roman"/>
                <w:color w:val="000000"/>
                <w:lang w:val="es-ES"/>
              </w:rPr>
              <w:t>DERECHA</w:t>
            </w:r>
          </w:p>
        </w:tc>
        <w:tc>
          <w:tcPr>
            <w:tcW w:w="1600" w:type="dxa"/>
            <w:noWrap/>
            <w:hideMark/>
          </w:tcPr>
          <w:p w14:paraId="6CCAD91F"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19</w:t>
            </w:r>
          </w:p>
        </w:tc>
        <w:tc>
          <w:tcPr>
            <w:tcW w:w="1140" w:type="dxa"/>
            <w:noWrap/>
            <w:hideMark/>
          </w:tcPr>
          <w:p w14:paraId="3CF87778"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57.6</w:t>
            </w:r>
          </w:p>
        </w:tc>
      </w:tr>
      <w:tr w:rsidR="00E50C09" w:rsidRPr="00B52FC2" w14:paraId="73DD1C48"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E21E38E" w14:textId="77777777" w:rsidR="00E50C09" w:rsidRPr="00B52FC2" w:rsidRDefault="00E50C09" w:rsidP="00E50C09">
            <w:pPr>
              <w:rPr>
                <w:rFonts w:eastAsia="Times New Roman"/>
                <w:color w:val="000000"/>
                <w:lang w:val="es-ES"/>
              </w:rPr>
            </w:pPr>
            <w:r w:rsidRPr="00B52FC2">
              <w:rPr>
                <w:rFonts w:eastAsia="Times New Roman"/>
                <w:color w:val="000000"/>
                <w:lang w:val="es-ES"/>
              </w:rPr>
              <w:t>IZQUIERDA</w:t>
            </w:r>
          </w:p>
        </w:tc>
        <w:tc>
          <w:tcPr>
            <w:tcW w:w="1600" w:type="dxa"/>
            <w:noWrap/>
            <w:hideMark/>
          </w:tcPr>
          <w:p w14:paraId="152379B5"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14</w:t>
            </w:r>
          </w:p>
        </w:tc>
        <w:tc>
          <w:tcPr>
            <w:tcW w:w="1140" w:type="dxa"/>
            <w:noWrap/>
            <w:hideMark/>
          </w:tcPr>
          <w:p w14:paraId="0D00D44C"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42.4</w:t>
            </w:r>
          </w:p>
        </w:tc>
      </w:tr>
      <w:tr w:rsidR="00E50C09" w:rsidRPr="00B52FC2" w14:paraId="133EAD8D"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40" w:type="dxa"/>
            <w:gridSpan w:val="3"/>
            <w:noWrap/>
            <w:hideMark/>
          </w:tcPr>
          <w:p w14:paraId="0492EA99" w14:textId="77777777" w:rsidR="00E50C09" w:rsidRPr="00B52FC2" w:rsidRDefault="00E50C09" w:rsidP="00E50C09">
            <w:pPr>
              <w:rPr>
                <w:rFonts w:eastAsia="Times New Roman"/>
                <w:b/>
                <w:bCs/>
                <w:color w:val="000000"/>
                <w:lang w:val="es-ES"/>
              </w:rPr>
            </w:pPr>
            <w:r w:rsidRPr="00B52FC2">
              <w:rPr>
                <w:rFonts w:eastAsia="Times New Roman"/>
                <w:b/>
                <w:bCs/>
                <w:color w:val="000000"/>
                <w:lang w:val="es-ES"/>
              </w:rPr>
              <w:t>DISPOSITIVO</w:t>
            </w:r>
          </w:p>
        </w:tc>
      </w:tr>
      <w:tr w:rsidR="00E50C09" w:rsidRPr="00B52FC2" w14:paraId="7B683E9A"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694B603"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r w:rsidRPr="00B52FC2">
              <w:rPr>
                <w:rFonts w:eastAsia="Times New Roman"/>
                <w:color w:val="000000"/>
                <w:lang w:val="es-ES"/>
              </w:rPr>
              <w:t xml:space="preserve"> </w:t>
            </w:r>
            <w:proofErr w:type="spellStart"/>
            <w:r w:rsidRPr="00B52FC2">
              <w:rPr>
                <w:rFonts w:eastAsia="Times New Roman"/>
                <w:color w:val="000000"/>
                <w:lang w:val="es-ES"/>
              </w:rPr>
              <w:t>Freedom</w:t>
            </w:r>
            <w:proofErr w:type="spellEnd"/>
          </w:p>
        </w:tc>
        <w:tc>
          <w:tcPr>
            <w:tcW w:w="1600" w:type="dxa"/>
            <w:noWrap/>
            <w:hideMark/>
          </w:tcPr>
          <w:p w14:paraId="72178F57"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8</w:t>
            </w:r>
          </w:p>
        </w:tc>
        <w:tc>
          <w:tcPr>
            <w:tcW w:w="1140" w:type="dxa"/>
            <w:noWrap/>
            <w:hideMark/>
          </w:tcPr>
          <w:p w14:paraId="0CE2FF49"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24.2</w:t>
            </w:r>
          </w:p>
        </w:tc>
      </w:tr>
      <w:tr w:rsidR="00E50C09" w:rsidRPr="00B52FC2" w14:paraId="1295787D"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93684CA"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Nucleous</w:t>
            </w:r>
            <w:proofErr w:type="spellEnd"/>
            <w:r w:rsidRPr="00B52FC2">
              <w:rPr>
                <w:rFonts w:eastAsia="Times New Roman"/>
                <w:color w:val="000000"/>
                <w:lang w:val="es-ES"/>
              </w:rPr>
              <w:t xml:space="preserve"> CI422</w:t>
            </w:r>
          </w:p>
        </w:tc>
        <w:tc>
          <w:tcPr>
            <w:tcW w:w="1600" w:type="dxa"/>
            <w:noWrap/>
            <w:hideMark/>
          </w:tcPr>
          <w:p w14:paraId="6B913A7B"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5</w:t>
            </w:r>
          </w:p>
        </w:tc>
        <w:tc>
          <w:tcPr>
            <w:tcW w:w="1140" w:type="dxa"/>
            <w:noWrap/>
            <w:hideMark/>
          </w:tcPr>
          <w:p w14:paraId="3D7D7F9D"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15.2</w:t>
            </w:r>
          </w:p>
        </w:tc>
      </w:tr>
      <w:tr w:rsidR="00E50C09" w:rsidRPr="00B52FC2" w14:paraId="70F4387C"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B3C0DB5"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Advance</w:t>
            </w:r>
            <w:proofErr w:type="spellEnd"/>
            <w:r w:rsidRPr="00B52FC2">
              <w:rPr>
                <w:rFonts w:eastAsia="Times New Roman"/>
                <w:color w:val="000000"/>
                <w:lang w:val="es-ES"/>
              </w:rPr>
              <w:t xml:space="preserve"> </w:t>
            </w:r>
            <w:proofErr w:type="spellStart"/>
            <w:r w:rsidRPr="00B52FC2">
              <w:rPr>
                <w:rFonts w:eastAsia="Times New Roman"/>
                <w:color w:val="000000"/>
                <w:lang w:val="es-ES"/>
              </w:rPr>
              <w:t>Bionics</w:t>
            </w:r>
            <w:proofErr w:type="spellEnd"/>
          </w:p>
        </w:tc>
        <w:tc>
          <w:tcPr>
            <w:tcW w:w="1600" w:type="dxa"/>
            <w:noWrap/>
            <w:hideMark/>
          </w:tcPr>
          <w:p w14:paraId="19E6985F"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4</w:t>
            </w:r>
          </w:p>
        </w:tc>
        <w:tc>
          <w:tcPr>
            <w:tcW w:w="1140" w:type="dxa"/>
            <w:noWrap/>
            <w:hideMark/>
          </w:tcPr>
          <w:p w14:paraId="3E703028"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12.1</w:t>
            </w:r>
          </w:p>
        </w:tc>
      </w:tr>
      <w:tr w:rsidR="00E50C09" w:rsidRPr="00B52FC2" w14:paraId="239C16D0"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427D199" w14:textId="77777777" w:rsidR="00E50C09" w:rsidRPr="00B52FC2" w:rsidRDefault="00E50C09" w:rsidP="00E50C09">
            <w:pPr>
              <w:rPr>
                <w:rFonts w:eastAsia="Times New Roman"/>
                <w:color w:val="000000"/>
                <w:lang w:val="es-ES"/>
              </w:rPr>
            </w:pPr>
            <w:r w:rsidRPr="00B52FC2">
              <w:rPr>
                <w:rFonts w:eastAsia="Times New Roman"/>
                <w:color w:val="000000"/>
                <w:lang w:val="es-ES"/>
              </w:rPr>
              <w:t>Medel Sonata</w:t>
            </w:r>
          </w:p>
        </w:tc>
        <w:tc>
          <w:tcPr>
            <w:tcW w:w="1600" w:type="dxa"/>
            <w:noWrap/>
            <w:hideMark/>
          </w:tcPr>
          <w:p w14:paraId="66A0D1CA"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w:t>
            </w:r>
          </w:p>
        </w:tc>
        <w:tc>
          <w:tcPr>
            <w:tcW w:w="1140" w:type="dxa"/>
            <w:noWrap/>
            <w:hideMark/>
          </w:tcPr>
          <w:p w14:paraId="429D3236"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6.1</w:t>
            </w:r>
          </w:p>
        </w:tc>
      </w:tr>
      <w:tr w:rsidR="00E50C09" w:rsidRPr="00B52FC2" w14:paraId="07FEA358"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623F132" w14:textId="77777777" w:rsidR="00E50C09" w:rsidRPr="00B52FC2" w:rsidRDefault="00E50C09" w:rsidP="00E50C09">
            <w:pPr>
              <w:rPr>
                <w:rFonts w:eastAsia="Times New Roman"/>
                <w:color w:val="000000"/>
                <w:lang w:val="es-ES"/>
              </w:rPr>
            </w:pPr>
            <w:r w:rsidRPr="00B52FC2">
              <w:rPr>
                <w:rFonts w:eastAsia="Times New Roman"/>
                <w:color w:val="000000"/>
                <w:lang w:val="es-ES"/>
              </w:rPr>
              <w:t>Medel</w:t>
            </w:r>
          </w:p>
        </w:tc>
        <w:tc>
          <w:tcPr>
            <w:tcW w:w="1600" w:type="dxa"/>
            <w:noWrap/>
            <w:hideMark/>
          </w:tcPr>
          <w:p w14:paraId="1BE8D785"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2</w:t>
            </w:r>
          </w:p>
        </w:tc>
        <w:tc>
          <w:tcPr>
            <w:tcW w:w="1140" w:type="dxa"/>
            <w:noWrap/>
            <w:hideMark/>
          </w:tcPr>
          <w:p w14:paraId="4EA0C050"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6.1</w:t>
            </w:r>
          </w:p>
        </w:tc>
      </w:tr>
      <w:tr w:rsidR="00E50C09" w:rsidRPr="00B52FC2" w14:paraId="5A90198A"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ECD181F" w14:textId="77777777" w:rsidR="00E50C09" w:rsidRPr="00B52FC2" w:rsidRDefault="00E50C09" w:rsidP="00E50C09">
            <w:pPr>
              <w:rPr>
                <w:rFonts w:eastAsia="Times New Roman"/>
                <w:color w:val="000000"/>
                <w:lang w:val="es-ES"/>
              </w:rPr>
            </w:pPr>
            <w:r w:rsidRPr="00B52FC2">
              <w:rPr>
                <w:rFonts w:eastAsia="Times New Roman"/>
                <w:color w:val="000000"/>
                <w:lang w:val="es-ES"/>
              </w:rPr>
              <w:t xml:space="preserve">Medel </w:t>
            </w:r>
            <w:proofErr w:type="spellStart"/>
            <w:r w:rsidRPr="00B52FC2">
              <w:rPr>
                <w:rFonts w:eastAsia="Times New Roman"/>
                <w:color w:val="000000"/>
                <w:lang w:val="es-ES"/>
              </w:rPr>
              <w:t>OpusII</w:t>
            </w:r>
            <w:proofErr w:type="spellEnd"/>
          </w:p>
        </w:tc>
        <w:tc>
          <w:tcPr>
            <w:tcW w:w="1600" w:type="dxa"/>
            <w:noWrap/>
            <w:hideMark/>
          </w:tcPr>
          <w:p w14:paraId="2D233D19"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w:t>
            </w:r>
          </w:p>
        </w:tc>
        <w:tc>
          <w:tcPr>
            <w:tcW w:w="1140" w:type="dxa"/>
            <w:noWrap/>
            <w:hideMark/>
          </w:tcPr>
          <w:p w14:paraId="3BEBA7C6"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6.1</w:t>
            </w:r>
          </w:p>
        </w:tc>
      </w:tr>
      <w:tr w:rsidR="00E50C09" w:rsidRPr="00B52FC2" w14:paraId="00069625"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530AF54"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r w:rsidRPr="00B52FC2">
              <w:rPr>
                <w:rFonts w:eastAsia="Times New Roman"/>
                <w:color w:val="000000"/>
                <w:lang w:val="es-ES"/>
              </w:rPr>
              <w:t xml:space="preserve"> CI423</w:t>
            </w:r>
          </w:p>
        </w:tc>
        <w:tc>
          <w:tcPr>
            <w:tcW w:w="1600" w:type="dxa"/>
            <w:noWrap/>
            <w:hideMark/>
          </w:tcPr>
          <w:p w14:paraId="17C30E72"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310DF897"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5CEA437A"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7BAC264"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r w:rsidRPr="00B52FC2">
              <w:rPr>
                <w:rFonts w:eastAsia="Times New Roman"/>
                <w:color w:val="000000"/>
                <w:lang w:val="es-ES"/>
              </w:rPr>
              <w:t xml:space="preserve"> CI422</w:t>
            </w:r>
          </w:p>
        </w:tc>
        <w:tc>
          <w:tcPr>
            <w:tcW w:w="1600" w:type="dxa"/>
            <w:noWrap/>
            <w:hideMark/>
          </w:tcPr>
          <w:p w14:paraId="72C02B9A"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5155A00F"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7C4C444B"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22B8BF8"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Sonaflex</w:t>
            </w:r>
            <w:proofErr w:type="spellEnd"/>
            <w:r w:rsidRPr="00B52FC2">
              <w:rPr>
                <w:rFonts w:eastAsia="Times New Roman"/>
                <w:color w:val="000000"/>
                <w:lang w:val="es-ES"/>
              </w:rPr>
              <w:t xml:space="preserve"> 28</w:t>
            </w:r>
          </w:p>
        </w:tc>
        <w:tc>
          <w:tcPr>
            <w:tcW w:w="1600" w:type="dxa"/>
            <w:noWrap/>
            <w:hideMark/>
          </w:tcPr>
          <w:p w14:paraId="7BA56B1A"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140AC5A0"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2C502440"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4E4E1CB"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r w:rsidRPr="00B52FC2">
              <w:rPr>
                <w:rFonts w:eastAsia="Times New Roman"/>
                <w:color w:val="000000"/>
                <w:lang w:val="es-ES"/>
              </w:rPr>
              <w:t xml:space="preserve"> SLIM CI422</w:t>
            </w:r>
          </w:p>
        </w:tc>
        <w:tc>
          <w:tcPr>
            <w:tcW w:w="1600" w:type="dxa"/>
            <w:noWrap/>
            <w:hideMark/>
          </w:tcPr>
          <w:p w14:paraId="2BB6D5A1"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202E53C3"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0A17CC39"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98B7EDF" w14:textId="77777777" w:rsidR="00E50C09" w:rsidRPr="00B52FC2" w:rsidRDefault="00E50C09" w:rsidP="00E50C09">
            <w:pPr>
              <w:rPr>
                <w:rFonts w:eastAsia="Times New Roman"/>
                <w:color w:val="000000"/>
                <w:lang w:val="es-ES"/>
              </w:rPr>
            </w:pPr>
            <w:r w:rsidRPr="00B52FC2">
              <w:rPr>
                <w:rFonts w:eastAsia="Times New Roman"/>
                <w:color w:val="000000"/>
                <w:lang w:val="es-ES"/>
              </w:rPr>
              <w:t>Medel Sonata Flex</w:t>
            </w:r>
          </w:p>
        </w:tc>
        <w:tc>
          <w:tcPr>
            <w:tcW w:w="1600" w:type="dxa"/>
            <w:noWrap/>
            <w:hideMark/>
          </w:tcPr>
          <w:p w14:paraId="178EFFC4"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63F6B201"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64DF20AC"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E0263D9"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r w:rsidRPr="00B52FC2">
              <w:rPr>
                <w:rFonts w:eastAsia="Times New Roman"/>
                <w:color w:val="000000"/>
                <w:lang w:val="es-ES"/>
              </w:rPr>
              <w:t xml:space="preserve"> Slim</w:t>
            </w:r>
          </w:p>
        </w:tc>
        <w:tc>
          <w:tcPr>
            <w:tcW w:w="1600" w:type="dxa"/>
            <w:noWrap/>
            <w:hideMark/>
          </w:tcPr>
          <w:p w14:paraId="4CBD5E10"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17CE6AAD"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6B5C3757"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EF55EAB"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p>
        </w:tc>
        <w:tc>
          <w:tcPr>
            <w:tcW w:w="1600" w:type="dxa"/>
            <w:noWrap/>
            <w:hideMark/>
          </w:tcPr>
          <w:p w14:paraId="063DAD73"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0733DAC4"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0734A313"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BC3EFE7"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HiRes</w:t>
            </w:r>
            <w:proofErr w:type="spellEnd"/>
            <w:r w:rsidRPr="00B52FC2">
              <w:rPr>
                <w:rFonts w:eastAsia="Times New Roman"/>
                <w:color w:val="000000"/>
                <w:lang w:val="es-ES"/>
              </w:rPr>
              <w:t xml:space="preserve"> 90K </w:t>
            </w:r>
            <w:proofErr w:type="spellStart"/>
            <w:r w:rsidRPr="00B52FC2">
              <w:rPr>
                <w:rFonts w:eastAsia="Times New Roman"/>
                <w:color w:val="000000"/>
                <w:lang w:val="es-ES"/>
              </w:rPr>
              <w:t>HiFOCUS</w:t>
            </w:r>
            <w:proofErr w:type="spellEnd"/>
          </w:p>
        </w:tc>
        <w:tc>
          <w:tcPr>
            <w:tcW w:w="1600" w:type="dxa"/>
            <w:noWrap/>
            <w:hideMark/>
          </w:tcPr>
          <w:p w14:paraId="36D74EF4"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7CFCBEE7"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52374E0B"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960CCD3" w14:textId="77777777" w:rsidR="00E50C09" w:rsidRPr="00B52FC2" w:rsidRDefault="00E50C09" w:rsidP="00E50C09">
            <w:pPr>
              <w:rPr>
                <w:rFonts w:eastAsia="Times New Roman"/>
                <w:color w:val="000000"/>
                <w:lang w:val="es-ES"/>
              </w:rPr>
            </w:pPr>
            <w:r w:rsidRPr="00B52FC2">
              <w:rPr>
                <w:rFonts w:eastAsia="Times New Roman"/>
                <w:color w:val="000000"/>
                <w:lang w:val="es-ES"/>
              </w:rPr>
              <w:t xml:space="preserve">Medel </w:t>
            </w:r>
            <w:proofErr w:type="spellStart"/>
            <w:r w:rsidRPr="00B52FC2">
              <w:rPr>
                <w:rFonts w:eastAsia="Times New Roman"/>
                <w:color w:val="000000"/>
                <w:lang w:val="es-ES"/>
              </w:rPr>
              <w:t>Duvet</w:t>
            </w:r>
            <w:proofErr w:type="spellEnd"/>
          </w:p>
        </w:tc>
        <w:tc>
          <w:tcPr>
            <w:tcW w:w="1600" w:type="dxa"/>
            <w:noWrap/>
            <w:hideMark/>
          </w:tcPr>
          <w:p w14:paraId="619E619D"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1413AF43"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tr w:rsidR="00E50C09" w:rsidRPr="00B52FC2" w14:paraId="26623FAD"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EB9D862"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Cochlear</w:t>
            </w:r>
            <w:proofErr w:type="spellEnd"/>
            <w:r w:rsidRPr="00B52FC2">
              <w:rPr>
                <w:rFonts w:eastAsia="Times New Roman"/>
                <w:color w:val="000000"/>
                <w:lang w:val="es-ES"/>
              </w:rPr>
              <w:t xml:space="preserve"> CP800</w:t>
            </w:r>
          </w:p>
        </w:tc>
        <w:tc>
          <w:tcPr>
            <w:tcW w:w="1600" w:type="dxa"/>
            <w:noWrap/>
            <w:hideMark/>
          </w:tcPr>
          <w:p w14:paraId="2AAF0005"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16A0802F"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bookmarkEnd w:id="1"/>
      <w:bookmarkEnd w:id="2"/>
      <w:tr w:rsidR="00E50C09" w:rsidRPr="00B52FC2" w14:paraId="6378F6F0"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6340" w:type="dxa"/>
            <w:gridSpan w:val="3"/>
            <w:noWrap/>
            <w:hideMark/>
          </w:tcPr>
          <w:p w14:paraId="223196F5" w14:textId="77777777" w:rsidR="00E50C09" w:rsidRPr="00B52FC2" w:rsidRDefault="00E50C09" w:rsidP="00E50C09">
            <w:pPr>
              <w:rPr>
                <w:rFonts w:eastAsia="Times New Roman"/>
                <w:b/>
                <w:bCs/>
                <w:color w:val="000000"/>
                <w:lang w:val="es-ES"/>
              </w:rPr>
            </w:pPr>
            <w:r w:rsidRPr="00B52FC2">
              <w:rPr>
                <w:rFonts w:eastAsia="Times New Roman"/>
                <w:b/>
                <w:bCs/>
                <w:color w:val="000000"/>
                <w:lang w:val="es-ES"/>
              </w:rPr>
              <w:t>ETIOLOGIA</w:t>
            </w:r>
          </w:p>
        </w:tc>
      </w:tr>
      <w:tr w:rsidR="00E50C09" w:rsidRPr="00B52FC2" w14:paraId="4FB5F655"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2A64F66" w14:textId="77777777" w:rsidR="00E50C09" w:rsidRPr="00B52FC2" w:rsidRDefault="00E50C09" w:rsidP="00E50C09">
            <w:pPr>
              <w:rPr>
                <w:rFonts w:eastAsia="Times New Roman"/>
                <w:color w:val="000000"/>
                <w:lang w:val="es-ES"/>
              </w:rPr>
            </w:pPr>
            <w:proofErr w:type="spellStart"/>
            <w:r>
              <w:rPr>
                <w:rFonts w:eastAsia="Times New Roman"/>
                <w:color w:val="000000"/>
                <w:lang w:val="es-ES"/>
              </w:rPr>
              <w:t>Presbiacusia</w:t>
            </w:r>
            <w:proofErr w:type="spellEnd"/>
          </w:p>
        </w:tc>
        <w:tc>
          <w:tcPr>
            <w:tcW w:w="1600" w:type="dxa"/>
            <w:noWrap/>
            <w:hideMark/>
          </w:tcPr>
          <w:p w14:paraId="3140B959"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20</w:t>
            </w:r>
          </w:p>
        </w:tc>
        <w:tc>
          <w:tcPr>
            <w:tcW w:w="1140" w:type="dxa"/>
            <w:noWrap/>
            <w:hideMark/>
          </w:tcPr>
          <w:p w14:paraId="1B135524"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60.6</w:t>
            </w:r>
          </w:p>
        </w:tc>
      </w:tr>
      <w:tr w:rsidR="00E50C09" w:rsidRPr="00B52FC2" w14:paraId="170900C3"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2B7F3D2"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Etiologia</w:t>
            </w:r>
            <w:proofErr w:type="spellEnd"/>
            <w:r w:rsidRPr="00B52FC2">
              <w:rPr>
                <w:rFonts w:eastAsia="Times New Roman"/>
                <w:color w:val="000000"/>
                <w:lang w:val="es-ES"/>
              </w:rPr>
              <w:t xml:space="preserve"> </w:t>
            </w:r>
            <w:proofErr w:type="spellStart"/>
            <w:r w:rsidRPr="00B52FC2">
              <w:rPr>
                <w:rFonts w:eastAsia="Times New Roman"/>
                <w:color w:val="000000"/>
                <w:lang w:val="es-ES"/>
              </w:rPr>
              <w:t>Exposicion</w:t>
            </w:r>
            <w:proofErr w:type="spellEnd"/>
            <w:r w:rsidRPr="00B52FC2">
              <w:rPr>
                <w:rFonts w:eastAsia="Times New Roman"/>
                <w:color w:val="000000"/>
                <w:lang w:val="es-ES"/>
              </w:rPr>
              <w:t xml:space="preserve"> a ruido</w:t>
            </w:r>
          </w:p>
        </w:tc>
        <w:tc>
          <w:tcPr>
            <w:tcW w:w="1600" w:type="dxa"/>
            <w:noWrap/>
            <w:hideMark/>
          </w:tcPr>
          <w:p w14:paraId="36118A12"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6</w:t>
            </w:r>
          </w:p>
        </w:tc>
        <w:tc>
          <w:tcPr>
            <w:tcW w:w="1140" w:type="dxa"/>
            <w:noWrap/>
            <w:hideMark/>
          </w:tcPr>
          <w:p w14:paraId="59EA92A7"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18.2</w:t>
            </w:r>
          </w:p>
        </w:tc>
      </w:tr>
      <w:tr w:rsidR="00E50C09" w:rsidRPr="00B52FC2" w14:paraId="76CFED7F"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F6F087D" w14:textId="77777777" w:rsidR="00E50C09" w:rsidRPr="00B52FC2" w:rsidRDefault="00E50C09" w:rsidP="00E50C09">
            <w:pPr>
              <w:rPr>
                <w:rFonts w:eastAsia="Times New Roman"/>
                <w:color w:val="000000"/>
                <w:lang w:val="es-ES"/>
              </w:rPr>
            </w:pPr>
            <w:r w:rsidRPr="00B52FC2">
              <w:rPr>
                <w:rFonts w:eastAsia="Times New Roman"/>
                <w:color w:val="000000"/>
                <w:lang w:val="es-ES"/>
              </w:rPr>
              <w:t>Familiar</w:t>
            </w:r>
          </w:p>
        </w:tc>
        <w:tc>
          <w:tcPr>
            <w:tcW w:w="1600" w:type="dxa"/>
            <w:noWrap/>
            <w:hideMark/>
          </w:tcPr>
          <w:p w14:paraId="71A58078"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w:t>
            </w:r>
          </w:p>
        </w:tc>
        <w:tc>
          <w:tcPr>
            <w:tcW w:w="1140" w:type="dxa"/>
            <w:noWrap/>
            <w:hideMark/>
          </w:tcPr>
          <w:p w14:paraId="753E6C5C"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6.1</w:t>
            </w:r>
          </w:p>
        </w:tc>
      </w:tr>
      <w:tr w:rsidR="00E50C09" w:rsidRPr="00B52FC2" w14:paraId="71B01B99"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1D70684" w14:textId="77777777" w:rsidR="00E50C09" w:rsidRPr="00B52FC2" w:rsidRDefault="00E50C09" w:rsidP="00E50C09">
            <w:pPr>
              <w:rPr>
                <w:rFonts w:eastAsia="Times New Roman"/>
                <w:color w:val="000000"/>
                <w:lang w:val="es-ES"/>
              </w:rPr>
            </w:pPr>
            <w:r w:rsidRPr="00B52FC2">
              <w:rPr>
                <w:rFonts w:eastAsia="Times New Roman"/>
                <w:color w:val="000000"/>
                <w:lang w:val="es-ES"/>
              </w:rPr>
              <w:t>Viral</w:t>
            </w:r>
          </w:p>
        </w:tc>
        <w:tc>
          <w:tcPr>
            <w:tcW w:w="1600" w:type="dxa"/>
            <w:noWrap/>
            <w:hideMark/>
          </w:tcPr>
          <w:p w14:paraId="5121C6A6"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2</w:t>
            </w:r>
          </w:p>
        </w:tc>
        <w:tc>
          <w:tcPr>
            <w:tcW w:w="1140" w:type="dxa"/>
            <w:noWrap/>
            <w:hideMark/>
          </w:tcPr>
          <w:p w14:paraId="17CEC033"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6.1</w:t>
            </w:r>
          </w:p>
        </w:tc>
      </w:tr>
      <w:tr w:rsidR="00E50C09" w:rsidRPr="00B52FC2" w14:paraId="7E158401"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C1FA9D5"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Otoesclerosis</w:t>
            </w:r>
            <w:proofErr w:type="spellEnd"/>
          </w:p>
        </w:tc>
        <w:tc>
          <w:tcPr>
            <w:tcW w:w="1600" w:type="dxa"/>
            <w:noWrap/>
            <w:hideMark/>
          </w:tcPr>
          <w:p w14:paraId="35C2FD90"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w:t>
            </w:r>
          </w:p>
        </w:tc>
        <w:tc>
          <w:tcPr>
            <w:tcW w:w="1140" w:type="dxa"/>
            <w:noWrap/>
            <w:hideMark/>
          </w:tcPr>
          <w:p w14:paraId="14864519"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6.1</w:t>
            </w:r>
          </w:p>
        </w:tc>
      </w:tr>
      <w:tr w:rsidR="00E50C09" w:rsidRPr="00B52FC2" w14:paraId="00F84BA9"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A7615D9" w14:textId="77777777" w:rsidR="00E50C09" w:rsidRPr="00B52FC2" w:rsidRDefault="00E50C09" w:rsidP="00E50C09">
            <w:pPr>
              <w:rPr>
                <w:rFonts w:eastAsia="Times New Roman"/>
                <w:color w:val="000000"/>
                <w:lang w:val="es-ES"/>
              </w:rPr>
            </w:pPr>
            <w:proofErr w:type="spellStart"/>
            <w:r w:rsidRPr="00B52FC2">
              <w:rPr>
                <w:rFonts w:eastAsia="Times New Roman"/>
                <w:color w:val="000000"/>
                <w:lang w:val="es-ES"/>
              </w:rPr>
              <w:t>Ototoxicidad</w:t>
            </w:r>
            <w:proofErr w:type="spellEnd"/>
          </w:p>
        </w:tc>
        <w:tc>
          <w:tcPr>
            <w:tcW w:w="1600" w:type="dxa"/>
            <w:noWrap/>
            <w:hideMark/>
          </w:tcPr>
          <w:p w14:paraId="3F30E67F"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1</w:t>
            </w:r>
          </w:p>
        </w:tc>
        <w:tc>
          <w:tcPr>
            <w:tcW w:w="1140" w:type="dxa"/>
            <w:noWrap/>
            <w:hideMark/>
          </w:tcPr>
          <w:p w14:paraId="5207669C"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w:t>
            </w:r>
          </w:p>
        </w:tc>
      </w:tr>
      <w:bookmarkEnd w:id="3"/>
    </w:tbl>
    <w:p w14:paraId="507B55D4" w14:textId="77777777" w:rsidR="00E50C09" w:rsidRDefault="00E50C09" w:rsidP="00E50C09">
      <w:pPr>
        <w:jc w:val="both"/>
        <w:rPr>
          <w:rFonts w:ascii="Arial" w:hAnsi="Arial" w:cs="Arial"/>
        </w:rPr>
      </w:pPr>
    </w:p>
    <w:p w14:paraId="26989224" w14:textId="77777777" w:rsidR="00E50C09" w:rsidRDefault="00E50C09" w:rsidP="00E50C09">
      <w:pPr>
        <w:jc w:val="both"/>
        <w:rPr>
          <w:rFonts w:ascii="Arial" w:hAnsi="Arial" w:cs="Arial"/>
        </w:rPr>
      </w:pPr>
      <w:r>
        <w:rPr>
          <w:rFonts w:ascii="Arial" w:hAnsi="Arial" w:cs="Arial"/>
        </w:rPr>
        <w:t xml:space="preserve">El dispositivo más utilizado fue el </w:t>
      </w:r>
      <w:proofErr w:type="spellStart"/>
      <w:r>
        <w:rPr>
          <w:rFonts w:ascii="Arial" w:hAnsi="Arial" w:cs="Arial"/>
        </w:rPr>
        <w:t>Cochlear</w:t>
      </w:r>
      <w:proofErr w:type="spellEnd"/>
      <w:r>
        <w:rPr>
          <w:rFonts w:ascii="Arial" w:hAnsi="Arial" w:cs="Arial"/>
        </w:rPr>
        <w:t xml:space="preserve"> </w:t>
      </w:r>
      <w:proofErr w:type="spellStart"/>
      <w:r>
        <w:rPr>
          <w:rFonts w:ascii="Arial" w:hAnsi="Arial" w:cs="Arial"/>
        </w:rPr>
        <w:t>Freedom</w:t>
      </w:r>
      <w:proofErr w:type="spellEnd"/>
      <w:r>
        <w:rPr>
          <w:rFonts w:ascii="Arial" w:hAnsi="Arial" w:cs="Arial"/>
        </w:rPr>
        <w:t xml:space="preserve"> en un 24.4% y la distribución en frecuencias de los dispositivos se grafica en la figura 1. </w:t>
      </w:r>
    </w:p>
    <w:p w14:paraId="462B3224" w14:textId="77777777" w:rsidR="00E50C09" w:rsidRDefault="00E50C09" w:rsidP="00E50C09">
      <w:pPr>
        <w:rPr>
          <w:rFonts w:ascii="Arial" w:hAnsi="Arial" w:cs="Arial"/>
        </w:rPr>
      </w:pPr>
    </w:p>
    <w:p w14:paraId="022F585D" w14:textId="77777777" w:rsidR="00E50C09" w:rsidRDefault="00E50C09" w:rsidP="00E50C09">
      <w:pPr>
        <w:rPr>
          <w:rFonts w:ascii="Arial" w:hAnsi="Arial" w:cs="Arial"/>
        </w:rPr>
      </w:pPr>
      <w:r>
        <w:rPr>
          <w:rFonts w:ascii="Arial" w:hAnsi="Arial" w:cs="Arial"/>
        </w:rPr>
        <w:t xml:space="preserve">Figura 1: Distribución de frecuencias en dispositivos de implante coclear. </w:t>
      </w:r>
    </w:p>
    <w:p w14:paraId="6D5D8D9F" w14:textId="77777777" w:rsidR="00E50C09" w:rsidRDefault="00E50C09" w:rsidP="00E50C09">
      <w:pPr>
        <w:rPr>
          <w:rFonts w:ascii="Arial" w:hAnsi="Arial" w:cs="Arial"/>
        </w:rPr>
      </w:pPr>
    </w:p>
    <w:p w14:paraId="390F028D" w14:textId="77777777" w:rsidR="00E50C09" w:rsidRDefault="00E50C09" w:rsidP="00E50C09">
      <w:pPr>
        <w:rPr>
          <w:rFonts w:ascii="Arial" w:hAnsi="Arial" w:cs="Arial"/>
        </w:rPr>
      </w:pPr>
    </w:p>
    <w:p w14:paraId="0FE1BA76" w14:textId="77777777" w:rsidR="00E50C09" w:rsidRDefault="00E50C09" w:rsidP="00E50C09">
      <w:pPr>
        <w:jc w:val="center"/>
        <w:rPr>
          <w:rFonts w:ascii="Arial" w:hAnsi="Arial" w:cs="Arial"/>
        </w:rPr>
      </w:pPr>
      <w:r w:rsidRPr="00B52FC2">
        <w:rPr>
          <w:noProof/>
          <w:lang w:val="es-ES"/>
        </w:rPr>
        <w:drawing>
          <wp:inline distT="0" distB="0" distL="0" distR="0" wp14:anchorId="3C19F98F" wp14:editId="4B87B2E6">
            <wp:extent cx="3471643" cy="3598752"/>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9">
                      <a:duotone>
                        <a:schemeClr val="accent5">
                          <a:shade val="45000"/>
                          <a:satMod val="135000"/>
                        </a:schemeClr>
                        <a:prstClr val="white"/>
                      </a:duotone>
                      <a:extLst>
                        <a:ext uri="{28A0092B-C50C-407E-A947-70E740481C1C}">
                          <a14:useLocalDpi xmlns:a14="http://schemas.microsoft.com/office/drawing/2010/main" val="0"/>
                        </a:ext>
                      </a:extLst>
                    </a:blip>
                    <a:srcRect l="3846" t="5731" r="23373"/>
                    <a:stretch/>
                  </pic:blipFill>
                  <pic:spPr bwMode="auto">
                    <a:xfrm>
                      <a:off x="0" y="0"/>
                      <a:ext cx="3480239" cy="3607663"/>
                    </a:xfrm>
                    <a:prstGeom prst="rect">
                      <a:avLst/>
                    </a:prstGeom>
                    <a:noFill/>
                    <a:ln>
                      <a:noFill/>
                    </a:ln>
                    <a:extLst>
                      <a:ext uri="{53640926-AAD7-44D8-BBD7-CCE9431645EC}">
                        <a14:shadowObscured xmlns:a14="http://schemas.microsoft.com/office/drawing/2010/main"/>
                      </a:ext>
                    </a:extLst>
                  </pic:spPr>
                </pic:pic>
              </a:graphicData>
            </a:graphic>
          </wp:inline>
        </w:drawing>
      </w:r>
    </w:p>
    <w:p w14:paraId="61BAEF2C" w14:textId="77777777" w:rsidR="00E50C09" w:rsidRDefault="00E50C09" w:rsidP="00E50C09">
      <w:pPr>
        <w:jc w:val="both"/>
        <w:rPr>
          <w:rFonts w:ascii="Arial" w:hAnsi="Arial" w:cs="Arial"/>
        </w:rPr>
      </w:pPr>
    </w:p>
    <w:p w14:paraId="5B764E90" w14:textId="253DCC03" w:rsidR="00E50C09" w:rsidRDefault="00E50C09" w:rsidP="00E50C09">
      <w:pPr>
        <w:jc w:val="both"/>
        <w:rPr>
          <w:rFonts w:ascii="Arial" w:hAnsi="Arial" w:cs="Arial"/>
        </w:rPr>
      </w:pPr>
      <w:r>
        <w:rPr>
          <w:rFonts w:ascii="Arial" w:hAnsi="Arial" w:cs="Arial"/>
        </w:rPr>
        <w:t>La mediana de la edad fue de 68 añ</w:t>
      </w:r>
      <w:r w:rsidR="008C532A">
        <w:rPr>
          <w:rFonts w:ascii="Arial" w:hAnsi="Arial" w:cs="Arial"/>
        </w:rPr>
        <w:t>os con un RIQ de 5 años (Tabla 3</w:t>
      </w:r>
      <w:r>
        <w:rPr>
          <w:rFonts w:ascii="Arial" w:hAnsi="Arial" w:cs="Arial"/>
        </w:rPr>
        <w:t xml:space="preserve">). </w:t>
      </w:r>
    </w:p>
    <w:p w14:paraId="64B0D383" w14:textId="77777777" w:rsidR="00E50C09" w:rsidRDefault="00E50C09" w:rsidP="00E50C09">
      <w:pPr>
        <w:rPr>
          <w:rFonts w:ascii="Arial" w:hAnsi="Arial" w:cs="Arial"/>
        </w:rPr>
      </w:pPr>
    </w:p>
    <w:p w14:paraId="739F0EB4" w14:textId="77777777" w:rsidR="00524CAB" w:rsidRDefault="00524CAB" w:rsidP="00E50C09">
      <w:pPr>
        <w:rPr>
          <w:rFonts w:ascii="Arial" w:hAnsi="Arial" w:cs="Arial"/>
        </w:rPr>
      </w:pPr>
    </w:p>
    <w:p w14:paraId="3AAA2662" w14:textId="77777777" w:rsidR="00524CAB" w:rsidRDefault="00524CAB" w:rsidP="00E50C09">
      <w:pPr>
        <w:rPr>
          <w:rFonts w:ascii="Arial" w:hAnsi="Arial" w:cs="Arial"/>
        </w:rPr>
      </w:pPr>
      <w:r>
        <w:rPr>
          <w:rFonts w:ascii="Arial" w:hAnsi="Arial" w:cs="Arial"/>
        </w:rPr>
        <w:t>Tabla 3</w:t>
      </w:r>
      <w:r w:rsidR="00E50C09">
        <w:rPr>
          <w:rFonts w:ascii="Arial" w:hAnsi="Arial" w:cs="Arial"/>
        </w:rPr>
        <w:t xml:space="preserve">: </w:t>
      </w:r>
    </w:p>
    <w:p w14:paraId="6EAF2353" w14:textId="1DF24DCA" w:rsidR="00E50C09" w:rsidRDefault="00E50C09" w:rsidP="00524CAB">
      <w:pPr>
        <w:jc w:val="center"/>
        <w:rPr>
          <w:rFonts w:ascii="Arial" w:hAnsi="Arial" w:cs="Arial"/>
        </w:rPr>
      </w:pPr>
      <w:r>
        <w:rPr>
          <w:rFonts w:ascii="Arial" w:hAnsi="Arial" w:cs="Arial"/>
        </w:rPr>
        <w:t>Características poblacionales de las variables cuantitativas.</w:t>
      </w:r>
    </w:p>
    <w:tbl>
      <w:tblPr>
        <w:tblStyle w:val="GridTable3-Accent11"/>
        <w:tblW w:w="7440" w:type="dxa"/>
        <w:jc w:val="center"/>
        <w:tblLook w:val="04A0" w:firstRow="1" w:lastRow="0" w:firstColumn="1" w:lastColumn="0" w:noHBand="0" w:noVBand="1"/>
      </w:tblPr>
      <w:tblGrid>
        <w:gridCol w:w="3600"/>
        <w:gridCol w:w="1600"/>
        <w:gridCol w:w="1120"/>
        <w:gridCol w:w="1120"/>
      </w:tblGrid>
      <w:tr w:rsidR="00E50C09" w:rsidRPr="00B52FC2" w14:paraId="750098B5" w14:textId="77777777" w:rsidTr="00E50C0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3600" w:type="dxa"/>
            <w:noWrap/>
            <w:hideMark/>
          </w:tcPr>
          <w:p w14:paraId="4FEB2615" w14:textId="77777777" w:rsidR="00E50C09" w:rsidRPr="00B52FC2" w:rsidRDefault="00E50C09" w:rsidP="00E50C09">
            <w:pPr>
              <w:rPr>
                <w:sz w:val="20"/>
                <w:szCs w:val="20"/>
                <w:lang w:val="es-ES"/>
              </w:rPr>
            </w:pPr>
            <w:bookmarkStart w:id="4" w:name="OLE_LINK8"/>
          </w:p>
        </w:tc>
        <w:tc>
          <w:tcPr>
            <w:tcW w:w="1600" w:type="dxa"/>
            <w:noWrap/>
            <w:hideMark/>
          </w:tcPr>
          <w:p w14:paraId="0B20C215" w14:textId="77777777" w:rsidR="00E50C09" w:rsidRPr="00B52FC2" w:rsidRDefault="00E50C09" w:rsidP="00E50C09">
            <w:pPr>
              <w:cnfStyle w:val="100000000000" w:firstRow="1"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Media (DE)</w:t>
            </w:r>
          </w:p>
        </w:tc>
        <w:tc>
          <w:tcPr>
            <w:tcW w:w="2240" w:type="dxa"/>
            <w:gridSpan w:val="2"/>
            <w:noWrap/>
            <w:hideMark/>
          </w:tcPr>
          <w:p w14:paraId="02C259ED" w14:textId="77777777" w:rsidR="00E50C09" w:rsidRPr="00B52FC2" w:rsidRDefault="00E50C09" w:rsidP="00E50C09">
            <w:pPr>
              <w:cnfStyle w:val="100000000000" w:firstRow="1"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IC 95%</w:t>
            </w:r>
          </w:p>
        </w:tc>
      </w:tr>
      <w:tr w:rsidR="00E50C09" w:rsidRPr="00B52FC2" w14:paraId="3D8AE264"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2EF6020" w14:textId="77777777" w:rsidR="00E50C09" w:rsidRPr="00B52FC2" w:rsidRDefault="00E50C09" w:rsidP="00E50C09">
            <w:pPr>
              <w:rPr>
                <w:rFonts w:eastAsia="Times New Roman"/>
                <w:color w:val="000000"/>
                <w:lang w:val="es-ES"/>
              </w:rPr>
            </w:pPr>
            <w:r w:rsidRPr="00B52FC2">
              <w:rPr>
                <w:rFonts w:eastAsia="Times New Roman"/>
                <w:color w:val="000000"/>
                <w:lang w:val="es-ES"/>
              </w:rPr>
              <w:t>Edad</w:t>
            </w:r>
          </w:p>
        </w:tc>
        <w:tc>
          <w:tcPr>
            <w:tcW w:w="1600" w:type="dxa"/>
            <w:noWrap/>
            <w:hideMark/>
          </w:tcPr>
          <w:p w14:paraId="24478CA9"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68 (5)</w:t>
            </w:r>
            <w:r>
              <w:rPr>
                <w:rFonts w:eastAsia="Times New Roman"/>
                <w:color w:val="000000"/>
                <w:lang w:val="es-ES"/>
              </w:rPr>
              <w:t xml:space="preserve"> </w:t>
            </w:r>
            <w:r w:rsidRPr="00B52FC2">
              <w:rPr>
                <w:rFonts w:eastAsia="Times New Roman"/>
                <w:color w:val="000000"/>
                <w:lang w:val="es-ES"/>
              </w:rPr>
              <w:t>*</w:t>
            </w:r>
          </w:p>
        </w:tc>
        <w:tc>
          <w:tcPr>
            <w:tcW w:w="1120" w:type="dxa"/>
            <w:noWrap/>
            <w:hideMark/>
          </w:tcPr>
          <w:p w14:paraId="67EBEB7C"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67.03</w:t>
            </w:r>
          </w:p>
        </w:tc>
        <w:tc>
          <w:tcPr>
            <w:tcW w:w="1120" w:type="dxa"/>
            <w:noWrap/>
            <w:hideMark/>
          </w:tcPr>
          <w:p w14:paraId="60B5E7CF"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70.97</w:t>
            </w:r>
          </w:p>
        </w:tc>
      </w:tr>
      <w:tr w:rsidR="00E50C09" w:rsidRPr="00B52FC2" w14:paraId="09D748DC"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41BE947" w14:textId="77777777" w:rsidR="00E50C09" w:rsidRPr="00B52FC2" w:rsidRDefault="00E50C09" w:rsidP="00E50C09">
            <w:pPr>
              <w:rPr>
                <w:rFonts w:eastAsia="Times New Roman"/>
                <w:color w:val="000000"/>
                <w:lang w:val="es-ES"/>
              </w:rPr>
            </w:pPr>
            <w:r w:rsidRPr="00B52FC2">
              <w:rPr>
                <w:rFonts w:eastAsia="Times New Roman"/>
                <w:color w:val="000000"/>
                <w:lang w:val="es-ES"/>
              </w:rPr>
              <w:t>Pre PTA(dB): 0.5, 1, 2, 4 KHz</w:t>
            </w:r>
          </w:p>
        </w:tc>
        <w:tc>
          <w:tcPr>
            <w:tcW w:w="1600" w:type="dxa"/>
            <w:noWrap/>
            <w:hideMark/>
          </w:tcPr>
          <w:p w14:paraId="0DD0FF32"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90 (13)</w:t>
            </w:r>
            <w:r>
              <w:rPr>
                <w:rFonts w:eastAsia="Times New Roman"/>
                <w:color w:val="000000"/>
                <w:lang w:val="es-ES"/>
              </w:rPr>
              <w:t xml:space="preserve"> </w:t>
            </w:r>
            <w:r w:rsidRPr="00B52FC2">
              <w:rPr>
                <w:rFonts w:eastAsia="Times New Roman"/>
                <w:color w:val="000000"/>
                <w:lang w:val="es-ES"/>
              </w:rPr>
              <w:t>*</w:t>
            </w:r>
          </w:p>
        </w:tc>
        <w:tc>
          <w:tcPr>
            <w:tcW w:w="1120" w:type="dxa"/>
            <w:noWrap/>
            <w:hideMark/>
          </w:tcPr>
          <w:p w14:paraId="25DACFB2"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85.61</w:t>
            </w:r>
          </w:p>
        </w:tc>
        <w:tc>
          <w:tcPr>
            <w:tcW w:w="1120" w:type="dxa"/>
            <w:noWrap/>
            <w:hideMark/>
          </w:tcPr>
          <w:p w14:paraId="565EB1C9"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94.26</w:t>
            </w:r>
          </w:p>
        </w:tc>
      </w:tr>
      <w:tr w:rsidR="00E50C09" w:rsidRPr="00B52FC2" w14:paraId="3877A5EF"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312D56C" w14:textId="77777777" w:rsidR="00E50C09" w:rsidRPr="00B52FC2" w:rsidRDefault="00E50C09" w:rsidP="00E50C09">
            <w:pPr>
              <w:rPr>
                <w:rFonts w:eastAsia="Times New Roman"/>
                <w:color w:val="000000"/>
                <w:lang w:val="es-ES"/>
              </w:rPr>
            </w:pPr>
            <w:r w:rsidRPr="00B52FC2">
              <w:rPr>
                <w:rFonts w:eastAsia="Times New Roman"/>
                <w:color w:val="000000"/>
                <w:lang w:val="es-ES"/>
              </w:rPr>
              <w:t>Post PTA (dB): 6 meses</w:t>
            </w:r>
          </w:p>
        </w:tc>
        <w:tc>
          <w:tcPr>
            <w:tcW w:w="1600" w:type="dxa"/>
            <w:noWrap/>
            <w:hideMark/>
          </w:tcPr>
          <w:p w14:paraId="24925E3D"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31 (9)</w:t>
            </w:r>
            <w:r>
              <w:rPr>
                <w:rFonts w:eastAsia="Times New Roman"/>
                <w:color w:val="000000"/>
                <w:lang w:val="es-ES"/>
              </w:rPr>
              <w:t xml:space="preserve"> </w:t>
            </w:r>
            <w:r w:rsidRPr="00B52FC2">
              <w:rPr>
                <w:rFonts w:eastAsia="Times New Roman"/>
                <w:color w:val="000000"/>
                <w:lang w:val="es-ES"/>
              </w:rPr>
              <w:t>*</w:t>
            </w:r>
          </w:p>
        </w:tc>
        <w:tc>
          <w:tcPr>
            <w:tcW w:w="1120" w:type="dxa"/>
            <w:noWrap/>
            <w:hideMark/>
          </w:tcPr>
          <w:p w14:paraId="1E360103"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28.37</w:t>
            </w:r>
          </w:p>
        </w:tc>
        <w:tc>
          <w:tcPr>
            <w:tcW w:w="1120" w:type="dxa"/>
            <w:noWrap/>
            <w:hideMark/>
          </w:tcPr>
          <w:p w14:paraId="18D18212"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33.36</w:t>
            </w:r>
          </w:p>
        </w:tc>
      </w:tr>
      <w:tr w:rsidR="00E50C09" w:rsidRPr="00B52FC2" w14:paraId="1BE78E44"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125A0E8" w14:textId="77777777" w:rsidR="00E50C09" w:rsidRPr="00B52FC2" w:rsidRDefault="00E50C09" w:rsidP="00E50C09">
            <w:pPr>
              <w:rPr>
                <w:rFonts w:eastAsia="Times New Roman"/>
                <w:color w:val="000000"/>
                <w:lang w:val="es-ES"/>
              </w:rPr>
            </w:pPr>
            <w:r w:rsidRPr="00B52FC2">
              <w:rPr>
                <w:rFonts w:eastAsia="Times New Roman"/>
                <w:color w:val="000000"/>
                <w:lang w:val="es-ES"/>
              </w:rPr>
              <w:t>Post PTA (dB): 12 meses</w:t>
            </w:r>
          </w:p>
        </w:tc>
        <w:tc>
          <w:tcPr>
            <w:tcW w:w="1600" w:type="dxa"/>
            <w:noWrap/>
            <w:hideMark/>
          </w:tcPr>
          <w:p w14:paraId="7B9AD160"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30 (5)</w:t>
            </w:r>
            <w:r>
              <w:rPr>
                <w:rFonts w:eastAsia="Times New Roman"/>
                <w:color w:val="000000"/>
                <w:lang w:val="es-ES"/>
              </w:rPr>
              <w:t xml:space="preserve"> </w:t>
            </w:r>
            <w:r w:rsidRPr="00B52FC2">
              <w:rPr>
                <w:rFonts w:eastAsia="Times New Roman"/>
                <w:color w:val="000000"/>
                <w:lang w:val="es-ES"/>
              </w:rPr>
              <w:t>*</w:t>
            </w:r>
          </w:p>
        </w:tc>
        <w:tc>
          <w:tcPr>
            <w:tcW w:w="1120" w:type="dxa"/>
            <w:noWrap/>
            <w:hideMark/>
          </w:tcPr>
          <w:p w14:paraId="7D5F3BB2"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26.58</w:t>
            </w:r>
          </w:p>
        </w:tc>
        <w:tc>
          <w:tcPr>
            <w:tcW w:w="1120" w:type="dxa"/>
            <w:noWrap/>
            <w:hideMark/>
          </w:tcPr>
          <w:p w14:paraId="49820430"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30.48</w:t>
            </w:r>
          </w:p>
        </w:tc>
      </w:tr>
      <w:tr w:rsidR="00E50C09" w:rsidRPr="00B52FC2" w14:paraId="4D4B3306"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D497E9A" w14:textId="77777777" w:rsidR="00E50C09" w:rsidRPr="00B52FC2" w:rsidRDefault="00E50C09" w:rsidP="00E50C09">
            <w:pPr>
              <w:rPr>
                <w:rFonts w:eastAsia="Times New Roman"/>
                <w:color w:val="000000"/>
                <w:lang w:val="es-ES"/>
              </w:rPr>
            </w:pPr>
            <w:r w:rsidRPr="00B52FC2">
              <w:rPr>
                <w:rFonts w:eastAsia="Times New Roman"/>
                <w:color w:val="000000"/>
                <w:lang w:val="es-ES"/>
              </w:rPr>
              <w:t>Pre SD (%)</w:t>
            </w:r>
          </w:p>
        </w:tc>
        <w:tc>
          <w:tcPr>
            <w:tcW w:w="1600" w:type="dxa"/>
            <w:noWrap/>
            <w:hideMark/>
          </w:tcPr>
          <w:p w14:paraId="278AA0C1"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20 (20)</w:t>
            </w:r>
            <w:r>
              <w:rPr>
                <w:rFonts w:eastAsia="Times New Roman"/>
                <w:color w:val="000000"/>
                <w:lang w:val="es-ES"/>
              </w:rPr>
              <w:t xml:space="preserve"> </w:t>
            </w:r>
            <w:r w:rsidRPr="00B52FC2">
              <w:rPr>
                <w:rFonts w:eastAsia="Times New Roman"/>
                <w:color w:val="000000"/>
                <w:lang w:val="es-ES"/>
              </w:rPr>
              <w:t>*</w:t>
            </w:r>
          </w:p>
        </w:tc>
        <w:tc>
          <w:tcPr>
            <w:tcW w:w="1120" w:type="dxa"/>
            <w:noWrap/>
            <w:hideMark/>
          </w:tcPr>
          <w:p w14:paraId="0C45D88B"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14.14</w:t>
            </w:r>
          </w:p>
        </w:tc>
        <w:tc>
          <w:tcPr>
            <w:tcW w:w="1120" w:type="dxa"/>
            <w:noWrap/>
            <w:hideMark/>
          </w:tcPr>
          <w:p w14:paraId="6E910A76"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29.19</w:t>
            </w:r>
          </w:p>
        </w:tc>
      </w:tr>
      <w:tr w:rsidR="00E50C09" w:rsidRPr="00B52FC2" w14:paraId="0CEE1BED"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8F14538" w14:textId="77777777" w:rsidR="00E50C09" w:rsidRPr="00B52FC2" w:rsidRDefault="00E50C09" w:rsidP="00E50C09">
            <w:pPr>
              <w:rPr>
                <w:rFonts w:eastAsia="Times New Roman"/>
                <w:color w:val="000000"/>
                <w:lang w:val="es-ES"/>
              </w:rPr>
            </w:pPr>
            <w:r w:rsidRPr="00B52FC2">
              <w:rPr>
                <w:rFonts w:eastAsia="Times New Roman"/>
                <w:color w:val="000000"/>
                <w:lang w:val="es-ES"/>
              </w:rPr>
              <w:t>Post SD (%) 6 meses</w:t>
            </w:r>
          </w:p>
        </w:tc>
        <w:tc>
          <w:tcPr>
            <w:tcW w:w="1600" w:type="dxa"/>
            <w:noWrap/>
            <w:hideMark/>
          </w:tcPr>
          <w:p w14:paraId="3AF95F98"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85.13 (4.07)</w:t>
            </w:r>
          </w:p>
        </w:tc>
        <w:tc>
          <w:tcPr>
            <w:tcW w:w="1120" w:type="dxa"/>
            <w:noWrap/>
            <w:hideMark/>
          </w:tcPr>
          <w:p w14:paraId="0BD5136D"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76.41</w:t>
            </w:r>
          </w:p>
        </w:tc>
        <w:tc>
          <w:tcPr>
            <w:tcW w:w="1120" w:type="dxa"/>
            <w:noWrap/>
            <w:hideMark/>
          </w:tcPr>
          <w:p w14:paraId="085701D6"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93.86</w:t>
            </w:r>
          </w:p>
        </w:tc>
      </w:tr>
      <w:tr w:rsidR="00E50C09" w:rsidRPr="00B52FC2" w14:paraId="6F74CEB4"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5B21AE2" w14:textId="77777777" w:rsidR="00E50C09" w:rsidRPr="00B52FC2" w:rsidRDefault="00E50C09" w:rsidP="00E50C09">
            <w:pPr>
              <w:rPr>
                <w:rFonts w:eastAsia="Times New Roman"/>
                <w:color w:val="000000"/>
                <w:lang w:val="es-ES"/>
              </w:rPr>
            </w:pPr>
            <w:r w:rsidRPr="00B52FC2">
              <w:rPr>
                <w:rFonts w:eastAsia="Times New Roman"/>
                <w:color w:val="000000"/>
                <w:lang w:val="es-ES"/>
              </w:rPr>
              <w:t>Post SD (%) 12 meses</w:t>
            </w:r>
          </w:p>
        </w:tc>
        <w:tc>
          <w:tcPr>
            <w:tcW w:w="1600" w:type="dxa"/>
            <w:noWrap/>
            <w:hideMark/>
          </w:tcPr>
          <w:p w14:paraId="3CBE0407"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90.93 (2.65)</w:t>
            </w:r>
          </w:p>
        </w:tc>
        <w:tc>
          <w:tcPr>
            <w:tcW w:w="1120" w:type="dxa"/>
            <w:noWrap/>
            <w:hideMark/>
          </w:tcPr>
          <w:p w14:paraId="60AD55A9"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85.25</w:t>
            </w:r>
          </w:p>
        </w:tc>
        <w:tc>
          <w:tcPr>
            <w:tcW w:w="1120" w:type="dxa"/>
            <w:noWrap/>
            <w:hideMark/>
          </w:tcPr>
          <w:p w14:paraId="74BC1B6B"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96.61</w:t>
            </w:r>
          </w:p>
        </w:tc>
      </w:tr>
      <w:tr w:rsidR="00E50C09" w:rsidRPr="00B52FC2" w14:paraId="3005B01F"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F2AD2E3" w14:textId="77777777" w:rsidR="00E50C09" w:rsidRPr="00B52FC2" w:rsidRDefault="00E50C09" w:rsidP="00E50C09">
            <w:pPr>
              <w:rPr>
                <w:rFonts w:eastAsia="Times New Roman"/>
                <w:color w:val="000000"/>
                <w:lang w:val="es-ES"/>
              </w:rPr>
            </w:pPr>
            <w:r w:rsidRPr="00B52FC2">
              <w:rPr>
                <w:rFonts w:eastAsia="Times New Roman"/>
                <w:color w:val="000000"/>
                <w:lang w:val="es-ES"/>
              </w:rPr>
              <w:t>Pre SD (</w:t>
            </w:r>
            <w:proofErr w:type="spellStart"/>
            <w:r w:rsidRPr="00B52FC2">
              <w:rPr>
                <w:rFonts w:eastAsia="Times New Roman"/>
                <w:color w:val="000000"/>
                <w:lang w:val="es-ES"/>
              </w:rPr>
              <w:t>Db</w:t>
            </w:r>
            <w:proofErr w:type="spellEnd"/>
            <w:r w:rsidRPr="00B52FC2">
              <w:rPr>
                <w:rFonts w:eastAsia="Times New Roman"/>
                <w:color w:val="000000"/>
                <w:lang w:val="es-ES"/>
              </w:rPr>
              <w:t>)</w:t>
            </w:r>
          </w:p>
        </w:tc>
        <w:tc>
          <w:tcPr>
            <w:tcW w:w="1600" w:type="dxa"/>
            <w:noWrap/>
            <w:vAlign w:val="center"/>
            <w:hideMark/>
          </w:tcPr>
          <w:p w14:paraId="58E94646"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95 (13)</w:t>
            </w:r>
            <w:r>
              <w:rPr>
                <w:rFonts w:eastAsia="Times New Roman"/>
                <w:color w:val="000000"/>
                <w:lang w:val="es-ES"/>
              </w:rPr>
              <w:t xml:space="preserve"> </w:t>
            </w:r>
            <w:r w:rsidRPr="00B52FC2">
              <w:rPr>
                <w:rFonts w:eastAsia="Times New Roman"/>
                <w:color w:val="000000"/>
                <w:lang w:val="es-ES"/>
              </w:rPr>
              <w:t>*</w:t>
            </w:r>
          </w:p>
        </w:tc>
        <w:tc>
          <w:tcPr>
            <w:tcW w:w="1120" w:type="dxa"/>
            <w:noWrap/>
            <w:vAlign w:val="center"/>
            <w:hideMark/>
          </w:tcPr>
          <w:p w14:paraId="0839D65B"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86.71</w:t>
            </w:r>
          </w:p>
        </w:tc>
        <w:tc>
          <w:tcPr>
            <w:tcW w:w="1120" w:type="dxa"/>
            <w:noWrap/>
            <w:vAlign w:val="center"/>
            <w:hideMark/>
          </w:tcPr>
          <w:p w14:paraId="2DE11C41"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96.82</w:t>
            </w:r>
          </w:p>
        </w:tc>
      </w:tr>
      <w:tr w:rsidR="00E50C09" w:rsidRPr="00B52FC2" w14:paraId="6403A99B"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5426C2D" w14:textId="77777777" w:rsidR="00E50C09" w:rsidRPr="00B52FC2" w:rsidRDefault="00E50C09" w:rsidP="00E50C09">
            <w:pPr>
              <w:rPr>
                <w:rFonts w:eastAsia="Times New Roman"/>
                <w:color w:val="000000"/>
                <w:lang w:val="es-ES"/>
              </w:rPr>
            </w:pPr>
            <w:r w:rsidRPr="00B52FC2">
              <w:rPr>
                <w:rFonts w:eastAsia="Times New Roman"/>
                <w:color w:val="000000"/>
                <w:lang w:val="es-ES"/>
              </w:rPr>
              <w:t>Pre SD (</w:t>
            </w:r>
            <w:proofErr w:type="spellStart"/>
            <w:r w:rsidRPr="00B52FC2">
              <w:rPr>
                <w:rFonts w:eastAsia="Times New Roman"/>
                <w:color w:val="000000"/>
                <w:lang w:val="es-ES"/>
              </w:rPr>
              <w:t>Db</w:t>
            </w:r>
            <w:proofErr w:type="spellEnd"/>
            <w:r w:rsidRPr="00B52FC2">
              <w:rPr>
                <w:rFonts w:eastAsia="Times New Roman"/>
                <w:color w:val="000000"/>
                <w:lang w:val="es-ES"/>
              </w:rPr>
              <w:t>): 6 meses</w:t>
            </w:r>
          </w:p>
        </w:tc>
        <w:tc>
          <w:tcPr>
            <w:tcW w:w="1600" w:type="dxa"/>
            <w:noWrap/>
            <w:hideMark/>
          </w:tcPr>
          <w:p w14:paraId="403CEF29"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58.67 (1.14)</w:t>
            </w:r>
          </w:p>
        </w:tc>
        <w:tc>
          <w:tcPr>
            <w:tcW w:w="1120" w:type="dxa"/>
            <w:noWrap/>
            <w:hideMark/>
          </w:tcPr>
          <w:p w14:paraId="7CAFD88C"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56.22</w:t>
            </w:r>
          </w:p>
        </w:tc>
        <w:tc>
          <w:tcPr>
            <w:tcW w:w="1120" w:type="dxa"/>
            <w:noWrap/>
            <w:hideMark/>
          </w:tcPr>
          <w:p w14:paraId="01137F34" w14:textId="77777777" w:rsidR="00E50C09" w:rsidRPr="00B52FC2" w:rsidRDefault="00E50C09" w:rsidP="00E50C09">
            <w:pPr>
              <w:cnfStyle w:val="000000100000" w:firstRow="0" w:lastRow="0" w:firstColumn="0" w:lastColumn="0" w:oddVBand="0" w:evenVBand="0" w:oddHBand="1" w:evenHBand="0" w:firstRowFirstColumn="0" w:firstRowLastColumn="0" w:lastRowFirstColumn="0" w:lastRowLastColumn="0"/>
              <w:rPr>
                <w:rFonts w:eastAsia="Times New Roman"/>
                <w:color w:val="000000"/>
                <w:lang w:val="es-ES"/>
              </w:rPr>
            </w:pPr>
            <w:r w:rsidRPr="00B52FC2">
              <w:rPr>
                <w:rFonts w:eastAsia="Times New Roman"/>
                <w:color w:val="000000"/>
                <w:lang w:val="es-ES"/>
              </w:rPr>
              <w:t>61.11</w:t>
            </w:r>
          </w:p>
        </w:tc>
      </w:tr>
      <w:tr w:rsidR="00E50C09" w:rsidRPr="00B52FC2" w14:paraId="3FAA0FE9"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B8E9698" w14:textId="77777777" w:rsidR="00E50C09" w:rsidRPr="00B52FC2" w:rsidRDefault="00E50C09" w:rsidP="00E50C09">
            <w:pPr>
              <w:rPr>
                <w:rFonts w:eastAsia="Times New Roman"/>
                <w:color w:val="000000"/>
                <w:lang w:val="es-ES"/>
              </w:rPr>
            </w:pPr>
            <w:r w:rsidRPr="00B52FC2">
              <w:rPr>
                <w:rFonts w:eastAsia="Times New Roman"/>
                <w:color w:val="000000"/>
                <w:lang w:val="es-ES"/>
              </w:rPr>
              <w:t>Pre SD (</w:t>
            </w:r>
            <w:proofErr w:type="spellStart"/>
            <w:r w:rsidRPr="00B52FC2">
              <w:rPr>
                <w:rFonts w:eastAsia="Times New Roman"/>
                <w:color w:val="000000"/>
                <w:lang w:val="es-ES"/>
              </w:rPr>
              <w:t>Db</w:t>
            </w:r>
            <w:proofErr w:type="spellEnd"/>
            <w:r w:rsidRPr="00B52FC2">
              <w:rPr>
                <w:rFonts w:eastAsia="Times New Roman"/>
                <w:color w:val="000000"/>
                <w:lang w:val="es-ES"/>
              </w:rPr>
              <w:t>): 12 meses</w:t>
            </w:r>
          </w:p>
        </w:tc>
        <w:tc>
          <w:tcPr>
            <w:tcW w:w="1600" w:type="dxa"/>
            <w:noWrap/>
            <w:hideMark/>
          </w:tcPr>
          <w:p w14:paraId="2834311E"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58.67 (1.14)</w:t>
            </w:r>
          </w:p>
        </w:tc>
        <w:tc>
          <w:tcPr>
            <w:tcW w:w="1120" w:type="dxa"/>
            <w:noWrap/>
            <w:hideMark/>
          </w:tcPr>
          <w:p w14:paraId="754D14F3"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56.22</w:t>
            </w:r>
          </w:p>
        </w:tc>
        <w:tc>
          <w:tcPr>
            <w:tcW w:w="1120" w:type="dxa"/>
            <w:noWrap/>
            <w:hideMark/>
          </w:tcPr>
          <w:p w14:paraId="2929B24D"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color w:val="000000"/>
                <w:lang w:val="es-ES"/>
              </w:rPr>
            </w:pPr>
            <w:r w:rsidRPr="00B52FC2">
              <w:rPr>
                <w:rFonts w:eastAsia="Times New Roman"/>
                <w:color w:val="000000"/>
                <w:lang w:val="es-ES"/>
              </w:rPr>
              <w:t>61.11</w:t>
            </w:r>
          </w:p>
        </w:tc>
      </w:tr>
      <w:tr w:rsidR="00E50C09" w:rsidRPr="00601355" w14:paraId="4C6F8A20" w14:textId="77777777" w:rsidTr="00E50C09">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7440" w:type="dxa"/>
            <w:gridSpan w:val="4"/>
            <w:noWrap/>
            <w:hideMark/>
          </w:tcPr>
          <w:p w14:paraId="7A31329C" w14:textId="77777777" w:rsidR="00E50C09" w:rsidRPr="00B52FC2" w:rsidRDefault="00E50C09" w:rsidP="00E50C09">
            <w:pPr>
              <w:rPr>
                <w:rFonts w:ascii="Calibri" w:eastAsia="Times New Roman" w:hAnsi="Calibri"/>
                <w:color w:val="000000"/>
                <w:lang w:val="es-ES"/>
              </w:rPr>
            </w:pPr>
            <w:r w:rsidRPr="00B52FC2">
              <w:rPr>
                <w:rFonts w:ascii="Calibri" w:eastAsia="Times New Roman" w:hAnsi="Calibri"/>
                <w:color w:val="000000"/>
                <w:lang w:val="es-ES"/>
              </w:rPr>
              <w:t>* se reportan Mediana (RIC) por distribución no normal (p&lt;0.05)</w:t>
            </w:r>
          </w:p>
        </w:tc>
      </w:tr>
      <w:bookmarkEnd w:id="4"/>
    </w:tbl>
    <w:tbl>
      <w:tblPr>
        <w:tblW w:w="6785" w:type="dxa"/>
        <w:jc w:val="center"/>
        <w:tblCellMar>
          <w:left w:w="70" w:type="dxa"/>
          <w:right w:w="70" w:type="dxa"/>
        </w:tblCellMar>
        <w:tblLook w:val="04A0" w:firstRow="1" w:lastRow="0" w:firstColumn="1" w:lastColumn="0" w:noHBand="0" w:noVBand="1"/>
      </w:tblPr>
      <w:tblGrid>
        <w:gridCol w:w="1300"/>
        <w:gridCol w:w="1880"/>
        <w:gridCol w:w="2305"/>
        <w:gridCol w:w="1300"/>
      </w:tblGrid>
      <w:tr w:rsidR="00E50C09" w:rsidRPr="00C427A5" w14:paraId="017E40B0" w14:textId="77777777" w:rsidTr="00E50C09">
        <w:trPr>
          <w:trHeight w:val="300"/>
          <w:jc w:val="center"/>
        </w:trPr>
        <w:tc>
          <w:tcPr>
            <w:tcW w:w="1300" w:type="dxa"/>
            <w:tcBorders>
              <w:top w:val="nil"/>
              <w:left w:val="nil"/>
              <w:bottom w:val="nil"/>
              <w:right w:val="nil"/>
            </w:tcBorders>
            <w:shd w:val="clear" w:color="auto" w:fill="auto"/>
            <w:noWrap/>
            <w:vAlign w:val="bottom"/>
            <w:hideMark/>
          </w:tcPr>
          <w:p w14:paraId="7BAF8AF6" w14:textId="77777777" w:rsidR="00524CAB" w:rsidRDefault="00524CAB" w:rsidP="00E50C09">
            <w:pPr>
              <w:rPr>
                <w:rFonts w:ascii="Calibri" w:eastAsia="Times New Roman" w:hAnsi="Calibri"/>
                <w:color w:val="000000"/>
              </w:rPr>
            </w:pPr>
          </w:p>
          <w:p w14:paraId="6E12C66A" w14:textId="77777777" w:rsidR="00524CAB" w:rsidRPr="00C427A5" w:rsidRDefault="00524CAB" w:rsidP="00E50C09">
            <w:pPr>
              <w:rPr>
                <w:rFonts w:ascii="Calibri" w:eastAsia="Times New Roman" w:hAnsi="Calibri"/>
                <w:color w:val="000000"/>
              </w:rPr>
            </w:pPr>
          </w:p>
        </w:tc>
        <w:tc>
          <w:tcPr>
            <w:tcW w:w="1880" w:type="dxa"/>
            <w:tcBorders>
              <w:top w:val="nil"/>
              <w:left w:val="nil"/>
              <w:bottom w:val="nil"/>
              <w:right w:val="nil"/>
            </w:tcBorders>
            <w:shd w:val="clear" w:color="auto" w:fill="auto"/>
            <w:noWrap/>
            <w:vAlign w:val="bottom"/>
            <w:hideMark/>
          </w:tcPr>
          <w:p w14:paraId="6152B3B6" w14:textId="77777777" w:rsidR="00E50C09" w:rsidRPr="00C427A5" w:rsidRDefault="00E50C09" w:rsidP="00E50C09">
            <w:pPr>
              <w:rPr>
                <w:rFonts w:ascii="Calibri" w:eastAsia="Times New Roman" w:hAnsi="Calibri"/>
                <w:color w:val="000000"/>
              </w:rPr>
            </w:pPr>
          </w:p>
        </w:tc>
        <w:tc>
          <w:tcPr>
            <w:tcW w:w="2305" w:type="dxa"/>
            <w:tcBorders>
              <w:top w:val="nil"/>
              <w:left w:val="nil"/>
              <w:bottom w:val="nil"/>
              <w:right w:val="nil"/>
            </w:tcBorders>
            <w:shd w:val="clear" w:color="auto" w:fill="auto"/>
            <w:noWrap/>
            <w:vAlign w:val="bottom"/>
            <w:hideMark/>
          </w:tcPr>
          <w:p w14:paraId="3CC539D7" w14:textId="77777777" w:rsidR="00E50C09" w:rsidRPr="00C427A5" w:rsidRDefault="00E50C09" w:rsidP="00E50C09">
            <w:pPr>
              <w:rPr>
                <w:rFonts w:ascii="Calibri" w:eastAsia="Times New Roman" w:hAnsi="Calibri"/>
                <w:color w:val="000000"/>
              </w:rPr>
            </w:pPr>
          </w:p>
        </w:tc>
        <w:tc>
          <w:tcPr>
            <w:tcW w:w="1300" w:type="dxa"/>
            <w:tcBorders>
              <w:top w:val="nil"/>
              <w:left w:val="nil"/>
              <w:bottom w:val="nil"/>
              <w:right w:val="nil"/>
            </w:tcBorders>
            <w:shd w:val="clear" w:color="auto" w:fill="auto"/>
            <w:noWrap/>
            <w:vAlign w:val="bottom"/>
            <w:hideMark/>
          </w:tcPr>
          <w:p w14:paraId="7548B615" w14:textId="77777777" w:rsidR="00E50C09" w:rsidRPr="00C427A5" w:rsidRDefault="00E50C09" w:rsidP="00E50C09">
            <w:pPr>
              <w:rPr>
                <w:rFonts w:ascii="Calibri" w:eastAsia="Times New Roman" w:hAnsi="Calibri"/>
                <w:color w:val="000000"/>
              </w:rPr>
            </w:pPr>
          </w:p>
        </w:tc>
      </w:tr>
      <w:tr w:rsidR="00E50C09" w:rsidRPr="00C427A5" w14:paraId="36C653C4" w14:textId="77777777" w:rsidTr="00E50C09">
        <w:trPr>
          <w:trHeight w:val="300"/>
          <w:jc w:val="center"/>
        </w:trPr>
        <w:tc>
          <w:tcPr>
            <w:tcW w:w="1300" w:type="dxa"/>
            <w:tcBorders>
              <w:top w:val="single" w:sz="4" w:space="0" w:color="auto"/>
              <w:left w:val="single" w:sz="4" w:space="0" w:color="auto"/>
              <w:bottom w:val="nil"/>
              <w:right w:val="single" w:sz="4" w:space="0" w:color="auto"/>
            </w:tcBorders>
            <w:shd w:val="clear" w:color="000000" w:fill="366092"/>
            <w:noWrap/>
            <w:vAlign w:val="bottom"/>
            <w:hideMark/>
          </w:tcPr>
          <w:p w14:paraId="6384598E"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lastRenderedPageBreak/>
              <w:t> </w:t>
            </w:r>
          </w:p>
        </w:tc>
        <w:tc>
          <w:tcPr>
            <w:tcW w:w="1880" w:type="dxa"/>
            <w:tcBorders>
              <w:top w:val="single" w:sz="4" w:space="0" w:color="auto"/>
              <w:left w:val="nil"/>
              <w:bottom w:val="nil"/>
              <w:right w:val="nil"/>
            </w:tcBorders>
            <w:shd w:val="clear" w:color="000000" w:fill="366092"/>
            <w:noWrap/>
            <w:vAlign w:val="bottom"/>
            <w:hideMark/>
          </w:tcPr>
          <w:p w14:paraId="676C9093"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t>PREQUIRURGICO</w:t>
            </w:r>
          </w:p>
        </w:tc>
        <w:tc>
          <w:tcPr>
            <w:tcW w:w="2305"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AF34399" w14:textId="6BB78395" w:rsidR="00E50C09" w:rsidRPr="00C427A5" w:rsidRDefault="00E50C09" w:rsidP="00E50C09">
            <w:pPr>
              <w:jc w:val="center"/>
              <w:rPr>
                <w:rFonts w:ascii="Calibri" w:eastAsia="Times New Roman" w:hAnsi="Calibri"/>
                <w:b/>
                <w:bCs/>
                <w:color w:val="FFFFFF"/>
              </w:rPr>
            </w:pPr>
            <w:r w:rsidRPr="00C427A5">
              <w:rPr>
                <w:rFonts w:ascii="Calibri" w:eastAsia="Times New Roman" w:hAnsi="Calibri"/>
                <w:b/>
                <w:bCs/>
                <w:color w:val="FFFFFF"/>
              </w:rPr>
              <w:t>POST QUIRURGICO</w:t>
            </w:r>
          </w:p>
        </w:tc>
        <w:tc>
          <w:tcPr>
            <w:tcW w:w="1300" w:type="dxa"/>
            <w:tcBorders>
              <w:top w:val="single" w:sz="4" w:space="0" w:color="auto"/>
              <w:left w:val="nil"/>
              <w:bottom w:val="single" w:sz="4" w:space="0" w:color="auto"/>
              <w:right w:val="single" w:sz="4" w:space="0" w:color="auto"/>
            </w:tcBorders>
            <w:shd w:val="clear" w:color="000000" w:fill="366092"/>
            <w:noWrap/>
            <w:vAlign w:val="bottom"/>
            <w:hideMark/>
          </w:tcPr>
          <w:p w14:paraId="71752982"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t> </w:t>
            </w:r>
          </w:p>
        </w:tc>
      </w:tr>
      <w:tr w:rsidR="00E50C09" w:rsidRPr="00C427A5" w14:paraId="58E45A2C" w14:textId="77777777" w:rsidTr="00E50C09">
        <w:trPr>
          <w:trHeight w:val="300"/>
          <w:jc w:val="center"/>
        </w:trPr>
        <w:tc>
          <w:tcPr>
            <w:tcW w:w="1300" w:type="dxa"/>
            <w:tcBorders>
              <w:top w:val="nil"/>
              <w:left w:val="single" w:sz="4" w:space="0" w:color="auto"/>
              <w:bottom w:val="nil"/>
              <w:right w:val="single" w:sz="4" w:space="0" w:color="auto"/>
            </w:tcBorders>
            <w:shd w:val="clear" w:color="000000" w:fill="366092"/>
            <w:noWrap/>
            <w:vAlign w:val="bottom"/>
            <w:hideMark/>
          </w:tcPr>
          <w:p w14:paraId="718863A3"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t> </w:t>
            </w:r>
          </w:p>
        </w:tc>
        <w:tc>
          <w:tcPr>
            <w:tcW w:w="1880" w:type="dxa"/>
            <w:tcBorders>
              <w:top w:val="nil"/>
              <w:left w:val="nil"/>
              <w:bottom w:val="nil"/>
              <w:right w:val="nil"/>
            </w:tcBorders>
            <w:shd w:val="clear" w:color="000000" w:fill="366092"/>
            <w:noWrap/>
            <w:vAlign w:val="bottom"/>
            <w:hideMark/>
          </w:tcPr>
          <w:p w14:paraId="18635177"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t> </w:t>
            </w:r>
          </w:p>
        </w:tc>
        <w:tc>
          <w:tcPr>
            <w:tcW w:w="2305" w:type="dxa"/>
            <w:tcBorders>
              <w:top w:val="nil"/>
              <w:left w:val="single" w:sz="4" w:space="0" w:color="auto"/>
              <w:bottom w:val="single" w:sz="4" w:space="0" w:color="auto"/>
              <w:right w:val="single" w:sz="4" w:space="0" w:color="auto"/>
            </w:tcBorders>
            <w:shd w:val="clear" w:color="000000" w:fill="366092"/>
            <w:noWrap/>
            <w:vAlign w:val="bottom"/>
            <w:hideMark/>
          </w:tcPr>
          <w:p w14:paraId="3538EF6A"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t xml:space="preserve">6 MESES </w:t>
            </w:r>
          </w:p>
        </w:tc>
        <w:tc>
          <w:tcPr>
            <w:tcW w:w="1300" w:type="dxa"/>
            <w:tcBorders>
              <w:top w:val="nil"/>
              <w:left w:val="nil"/>
              <w:bottom w:val="single" w:sz="4" w:space="0" w:color="auto"/>
              <w:right w:val="single" w:sz="4" w:space="0" w:color="auto"/>
            </w:tcBorders>
            <w:shd w:val="clear" w:color="000000" w:fill="366092"/>
            <w:noWrap/>
            <w:vAlign w:val="bottom"/>
            <w:hideMark/>
          </w:tcPr>
          <w:p w14:paraId="64457D4A" w14:textId="77777777" w:rsidR="00E50C09" w:rsidRPr="00C427A5" w:rsidRDefault="00E50C09" w:rsidP="00E50C09">
            <w:pPr>
              <w:rPr>
                <w:rFonts w:ascii="Calibri" w:eastAsia="Times New Roman" w:hAnsi="Calibri"/>
                <w:b/>
                <w:bCs/>
                <w:color w:val="FFFFFF"/>
              </w:rPr>
            </w:pPr>
            <w:r w:rsidRPr="00C427A5">
              <w:rPr>
                <w:rFonts w:ascii="Calibri" w:eastAsia="Times New Roman" w:hAnsi="Calibri"/>
                <w:b/>
                <w:bCs/>
                <w:color w:val="FFFFFF"/>
              </w:rPr>
              <w:t>12 MESES</w:t>
            </w:r>
          </w:p>
        </w:tc>
      </w:tr>
      <w:tr w:rsidR="00E50C09" w:rsidRPr="00C427A5" w14:paraId="01CA72B8" w14:textId="77777777" w:rsidTr="00E50C09">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B641F1A" w14:textId="3F3B945D" w:rsidR="00E50C09" w:rsidRPr="00C427A5" w:rsidRDefault="00E50C09" w:rsidP="00E50C09">
            <w:pPr>
              <w:jc w:val="center"/>
              <w:rPr>
                <w:rFonts w:ascii="Calibri" w:eastAsia="Times New Roman" w:hAnsi="Calibri"/>
                <w:b/>
                <w:bCs/>
                <w:color w:val="FFFFFF"/>
              </w:rPr>
            </w:pPr>
            <w:r w:rsidRPr="00C427A5">
              <w:rPr>
                <w:rFonts w:ascii="Calibri" w:eastAsia="Times New Roman" w:hAnsi="Calibri"/>
                <w:b/>
                <w:bCs/>
                <w:color w:val="FFFFFF"/>
              </w:rPr>
              <w:t>PTA</w:t>
            </w:r>
            <w:r>
              <w:rPr>
                <w:rFonts w:ascii="Calibri" w:eastAsia="Times New Roman" w:hAnsi="Calibri"/>
                <w:b/>
                <w:bCs/>
                <w:color w:val="FFFFFF"/>
              </w:rPr>
              <w:t xml:space="preserve"> ( </w:t>
            </w:r>
            <w:proofErr w:type="spellStart"/>
            <w:r>
              <w:rPr>
                <w:rFonts w:ascii="Calibri" w:eastAsia="Times New Roman" w:hAnsi="Calibri"/>
                <w:b/>
                <w:bCs/>
                <w:color w:val="FFFFFF"/>
              </w:rPr>
              <w:t>Db</w:t>
            </w:r>
            <w:proofErr w:type="spellEnd"/>
            <w:r>
              <w:rPr>
                <w:rFonts w:ascii="Calibri" w:eastAsia="Times New Roman" w:hAnsi="Calibri"/>
                <w:b/>
                <w:bCs/>
                <w:color w:val="FFFFFF"/>
              </w:rPr>
              <w:t>)</w:t>
            </w:r>
          </w:p>
        </w:tc>
        <w:tc>
          <w:tcPr>
            <w:tcW w:w="1880" w:type="dxa"/>
            <w:tcBorders>
              <w:top w:val="single" w:sz="4" w:space="0" w:color="auto"/>
              <w:left w:val="nil"/>
              <w:bottom w:val="single" w:sz="4" w:space="0" w:color="auto"/>
              <w:right w:val="nil"/>
            </w:tcBorders>
            <w:shd w:val="clear" w:color="auto" w:fill="auto"/>
            <w:noWrap/>
            <w:vAlign w:val="bottom"/>
            <w:hideMark/>
          </w:tcPr>
          <w:p w14:paraId="5B0A0F78"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90</w:t>
            </w:r>
          </w:p>
        </w:tc>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2C00656E"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264009F3"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30</w:t>
            </w:r>
          </w:p>
        </w:tc>
      </w:tr>
      <w:tr w:rsidR="00E50C09" w:rsidRPr="00C427A5" w14:paraId="41F3C530" w14:textId="77777777" w:rsidTr="00E50C09">
        <w:trPr>
          <w:trHeight w:val="300"/>
          <w:jc w:val="center"/>
        </w:trPr>
        <w:tc>
          <w:tcPr>
            <w:tcW w:w="1300" w:type="dxa"/>
            <w:tcBorders>
              <w:top w:val="nil"/>
              <w:left w:val="single" w:sz="4" w:space="0" w:color="auto"/>
              <w:bottom w:val="single" w:sz="4" w:space="0" w:color="auto"/>
              <w:right w:val="single" w:sz="4" w:space="0" w:color="auto"/>
            </w:tcBorders>
            <w:shd w:val="clear" w:color="000000" w:fill="366092"/>
            <w:noWrap/>
            <w:vAlign w:val="bottom"/>
            <w:hideMark/>
          </w:tcPr>
          <w:p w14:paraId="4E9F9C3D" w14:textId="77777777" w:rsidR="00E50C09" w:rsidRPr="00C427A5" w:rsidRDefault="00E50C09" w:rsidP="00E50C09">
            <w:pPr>
              <w:jc w:val="center"/>
              <w:rPr>
                <w:rFonts w:ascii="Calibri" w:eastAsia="Times New Roman" w:hAnsi="Calibri"/>
                <w:b/>
                <w:bCs/>
                <w:color w:val="FFFFFF"/>
              </w:rPr>
            </w:pPr>
            <w:r w:rsidRPr="00C427A5">
              <w:rPr>
                <w:rFonts w:ascii="Calibri" w:eastAsia="Times New Roman" w:hAnsi="Calibri"/>
                <w:b/>
                <w:bCs/>
                <w:color w:val="FFFFFF"/>
              </w:rPr>
              <w:t xml:space="preserve">SD  </w:t>
            </w:r>
            <w:proofErr w:type="gramStart"/>
            <w:r w:rsidRPr="00C427A5">
              <w:rPr>
                <w:rFonts w:ascii="Calibri" w:eastAsia="Times New Roman" w:hAnsi="Calibri"/>
                <w:b/>
                <w:bCs/>
                <w:color w:val="FFFFFF"/>
              </w:rPr>
              <w:t>( %</w:t>
            </w:r>
            <w:proofErr w:type="gramEnd"/>
            <w:r w:rsidRPr="00C427A5">
              <w:rPr>
                <w:rFonts w:ascii="Calibri" w:eastAsia="Times New Roman" w:hAnsi="Calibri"/>
                <w:b/>
                <w:bCs/>
                <w:color w:val="FFFFFF"/>
              </w:rPr>
              <w:t>)</w:t>
            </w:r>
          </w:p>
        </w:tc>
        <w:tc>
          <w:tcPr>
            <w:tcW w:w="1880" w:type="dxa"/>
            <w:tcBorders>
              <w:top w:val="nil"/>
              <w:left w:val="nil"/>
              <w:bottom w:val="single" w:sz="4" w:space="0" w:color="auto"/>
              <w:right w:val="nil"/>
            </w:tcBorders>
            <w:shd w:val="clear" w:color="auto" w:fill="auto"/>
            <w:noWrap/>
            <w:vAlign w:val="bottom"/>
            <w:hideMark/>
          </w:tcPr>
          <w:p w14:paraId="5C39AE1F"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20</w:t>
            </w:r>
          </w:p>
        </w:tc>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2BD9C390"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85.13</w:t>
            </w:r>
          </w:p>
        </w:tc>
        <w:tc>
          <w:tcPr>
            <w:tcW w:w="1300" w:type="dxa"/>
            <w:tcBorders>
              <w:top w:val="nil"/>
              <w:left w:val="nil"/>
              <w:bottom w:val="single" w:sz="4" w:space="0" w:color="auto"/>
              <w:right w:val="single" w:sz="4" w:space="0" w:color="auto"/>
            </w:tcBorders>
            <w:shd w:val="clear" w:color="auto" w:fill="auto"/>
            <w:noWrap/>
            <w:vAlign w:val="bottom"/>
            <w:hideMark/>
          </w:tcPr>
          <w:p w14:paraId="5C303F28"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90.93</w:t>
            </w:r>
          </w:p>
        </w:tc>
      </w:tr>
      <w:tr w:rsidR="00E50C09" w:rsidRPr="00C427A5" w14:paraId="6F806CB2" w14:textId="77777777" w:rsidTr="00E50C09">
        <w:trPr>
          <w:trHeight w:val="300"/>
          <w:jc w:val="center"/>
        </w:trPr>
        <w:tc>
          <w:tcPr>
            <w:tcW w:w="1300" w:type="dxa"/>
            <w:tcBorders>
              <w:top w:val="nil"/>
              <w:left w:val="single" w:sz="4" w:space="0" w:color="auto"/>
              <w:bottom w:val="single" w:sz="4" w:space="0" w:color="auto"/>
              <w:right w:val="single" w:sz="4" w:space="0" w:color="auto"/>
            </w:tcBorders>
            <w:shd w:val="clear" w:color="000000" w:fill="366092"/>
            <w:noWrap/>
            <w:vAlign w:val="bottom"/>
            <w:hideMark/>
          </w:tcPr>
          <w:p w14:paraId="3FE08C3E" w14:textId="77777777" w:rsidR="00E50C09" w:rsidRPr="00C427A5" w:rsidRDefault="00E50C09" w:rsidP="00E50C09">
            <w:pPr>
              <w:jc w:val="center"/>
              <w:rPr>
                <w:rFonts w:ascii="Calibri" w:eastAsia="Times New Roman" w:hAnsi="Calibri"/>
                <w:b/>
                <w:bCs/>
                <w:color w:val="FFFFFF"/>
              </w:rPr>
            </w:pPr>
            <w:r w:rsidRPr="00C427A5">
              <w:rPr>
                <w:rFonts w:ascii="Calibri" w:eastAsia="Times New Roman" w:hAnsi="Calibri"/>
                <w:b/>
                <w:bCs/>
                <w:color w:val="FFFFFF"/>
              </w:rPr>
              <w:t>SD  (</w:t>
            </w:r>
            <w:proofErr w:type="spellStart"/>
            <w:r w:rsidRPr="00C427A5">
              <w:rPr>
                <w:rFonts w:ascii="Calibri" w:eastAsia="Times New Roman" w:hAnsi="Calibri"/>
                <w:b/>
                <w:bCs/>
                <w:color w:val="FFFFFF"/>
              </w:rPr>
              <w:t>Db</w:t>
            </w:r>
            <w:proofErr w:type="spellEnd"/>
            <w:r w:rsidRPr="00C427A5">
              <w:rPr>
                <w:rFonts w:ascii="Calibri" w:eastAsia="Times New Roman" w:hAnsi="Calibri"/>
                <w:b/>
                <w:bCs/>
                <w:color w:val="FFFFFF"/>
              </w:rPr>
              <w:t>)</w:t>
            </w:r>
          </w:p>
        </w:tc>
        <w:tc>
          <w:tcPr>
            <w:tcW w:w="1880" w:type="dxa"/>
            <w:tcBorders>
              <w:top w:val="nil"/>
              <w:left w:val="nil"/>
              <w:bottom w:val="single" w:sz="4" w:space="0" w:color="auto"/>
              <w:right w:val="single" w:sz="4" w:space="0" w:color="auto"/>
            </w:tcBorders>
            <w:shd w:val="clear" w:color="auto" w:fill="auto"/>
            <w:noWrap/>
            <w:vAlign w:val="bottom"/>
            <w:hideMark/>
          </w:tcPr>
          <w:p w14:paraId="2470FD24"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95</w:t>
            </w:r>
          </w:p>
        </w:tc>
        <w:tc>
          <w:tcPr>
            <w:tcW w:w="2305" w:type="dxa"/>
            <w:tcBorders>
              <w:top w:val="nil"/>
              <w:left w:val="nil"/>
              <w:bottom w:val="single" w:sz="4" w:space="0" w:color="auto"/>
              <w:right w:val="single" w:sz="4" w:space="0" w:color="auto"/>
            </w:tcBorders>
            <w:shd w:val="clear" w:color="auto" w:fill="auto"/>
            <w:noWrap/>
            <w:vAlign w:val="bottom"/>
            <w:hideMark/>
          </w:tcPr>
          <w:p w14:paraId="1DAC2705"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58.67</w:t>
            </w:r>
          </w:p>
        </w:tc>
        <w:tc>
          <w:tcPr>
            <w:tcW w:w="1300" w:type="dxa"/>
            <w:tcBorders>
              <w:top w:val="nil"/>
              <w:left w:val="nil"/>
              <w:bottom w:val="single" w:sz="4" w:space="0" w:color="auto"/>
              <w:right w:val="single" w:sz="4" w:space="0" w:color="auto"/>
            </w:tcBorders>
            <w:shd w:val="clear" w:color="auto" w:fill="auto"/>
            <w:noWrap/>
            <w:vAlign w:val="bottom"/>
            <w:hideMark/>
          </w:tcPr>
          <w:p w14:paraId="7061B598" w14:textId="77777777" w:rsidR="00E50C09" w:rsidRPr="00C427A5" w:rsidRDefault="00E50C09" w:rsidP="00E50C09">
            <w:pPr>
              <w:jc w:val="center"/>
              <w:rPr>
                <w:rFonts w:ascii="Calibri" w:eastAsia="Times New Roman" w:hAnsi="Calibri"/>
                <w:color w:val="000000"/>
              </w:rPr>
            </w:pPr>
            <w:r w:rsidRPr="00C427A5">
              <w:rPr>
                <w:rFonts w:ascii="Calibri" w:eastAsia="Times New Roman" w:hAnsi="Calibri"/>
                <w:color w:val="000000"/>
              </w:rPr>
              <w:t>58.67</w:t>
            </w:r>
          </w:p>
        </w:tc>
      </w:tr>
    </w:tbl>
    <w:p w14:paraId="2CD6D8D5" w14:textId="77777777" w:rsidR="00E50C09" w:rsidRDefault="00E50C09" w:rsidP="00E50C09">
      <w:pPr>
        <w:rPr>
          <w:rFonts w:ascii="Arial" w:hAnsi="Arial" w:cs="Arial"/>
        </w:rPr>
      </w:pPr>
    </w:p>
    <w:p w14:paraId="49493A12" w14:textId="7178DBD2" w:rsidR="00E50C09" w:rsidRPr="00B52FC2" w:rsidRDefault="00E50C09" w:rsidP="00E50C09">
      <w:pPr>
        <w:jc w:val="both"/>
        <w:rPr>
          <w:rFonts w:ascii="Arial" w:hAnsi="Arial" w:cs="Arial"/>
          <w:lang w:val="es-ES"/>
        </w:rPr>
      </w:pPr>
      <w:r w:rsidRPr="00B52FC2">
        <w:rPr>
          <w:rFonts w:ascii="Arial" w:hAnsi="Arial" w:cs="Arial"/>
          <w:lang w:val="es-ES"/>
        </w:rPr>
        <w:t xml:space="preserve">La mediana para el </w:t>
      </w:r>
      <w:r>
        <w:rPr>
          <w:rFonts w:ascii="Arial" w:hAnsi="Arial" w:cs="Arial"/>
          <w:lang w:val="es-ES"/>
        </w:rPr>
        <w:t>promedio de ton</w:t>
      </w:r>
      <w:r w:rsidRPr="00B52FC2">
        <w:rPr>
          <w:rFonts w:ascii="Arial" w:hAnsi="Arial" w:cs="Arial"/>
          <w:lang w:val="es-ES"/>
        </w:rPr>
        <w:t>os puros del habla pre-quirúrgicos fue de 90 con un RIQ de 13, mientras que a los 6 meses fue de 31</w:t>
      </w:r>
      <w:r>
        <w:rPr>
          <w:rFonts w:ascii="Arial" w:hAnsi="Arial" w:cs="Arial"/>
          <w:lang w:val="es-ES"/>
        </w:rPr>
        <w:t xml:space="preserve"> con un RIQ de 9 y a los 12 </w:t>
      </w:r>
      <w:r w:rsidRPr="00B52FC2">
        <w:rPr>
          <w:rFonts w:ascii="Arial" w:hAnsi="Arial" w:cs="Arial"/>
          <w:lang w:val="es-ES"/>
        </w:rPr>
        <w:t>mese</w:t>
      </w:r>
      <w:r w:rsidR="003A4A0F">
        <w:rPr>
          <w:rFonts w:ascii="Arial" w:hAnsi="Arial" w:cs="Arial"/>
          <w:lang w:val="es-ES"/>
        </w:rPr>
        <w:t>s de 30 con un RIQ de 5 (Tabla 2</w:t>
      </w:r>
      <w:r w:rsidRPr="00B52FC2">
        <w:rPr>
          <w:rFonts w:ascii="Arial" w:hAnsi="Arial" w:cs="Arial"/>
          <w:lang w:val="es-ES"/>
        </w:rPr>
        <w:t>). El porcentaje de discriminación del lenguaje pre-quirúrgico tuvo una mediana de 20 con un RIQ de 20, a los 6 meses de 85.13 con un RIQ de 4.07, y a los 12 meses de 90.9 con un RIQ de 2.65. En la va</w:t>
      </w:r>
      <w:r>
        <w:rPr>
          <w:rFonts w:ascii="Arial" w:hAnsi="Arial" w:cs="Arial"/>
          <w:lang w:val="es-ES"/>
        </w:rPr>
        <w:t>loración para el promedio de ton</w:t>
      </w:r>
      <w:r w:rsidRPr="00B52FC2">
        <w:rPr>
          <w:rFonts w:ascii="Arial" w:hAnsi="Arial" w:cs="Arial"/>
          <w:lang w:val="es-ES"/>
        </w:rPr>
        <w:t xml:space="preserve">os puros del habla el 100% de los pacientes paso de un valor &gt;60db (hipoacusia severa) a un valor entre 20-40 (hipoacusia leve) con el uso del dispositivo. En la evaluación del porcentaje de discriminación del lenguaje pre-quirúrgico el 51.5% no discriminaban ninguna palabra (0%), el 12.1% 1, 2 y 3 palabras y el 9.1% 4 palabras. Al realizar valoraciones post-quirúrgicas este porcentaje cambio al 136% discriminando entre 3-5 palabras, un 44% entre 5-7 palabras y un 14% más de 8 palabras. </w:t>
      </w:r>
    </w:p>
    <w:p w14:paraId="1945A473" w14:textId="77777777" w:rsidR="00E50C09" w:rsidRPr="00B52FC2" w:rsidRDefault="00E50C09" w:rsidP="00E50C09">
      <w:pPr>
        <w:jc w:val="both"/>
        <w:rPr>
          <w:rFonts w:ascii="Arial" w:hAnsi="Arial" w:cs="Arial"/>
          <w:lang w:val="es-ES"/>
        </w:rPr>
      </w:pPr>
    </w:p>
    <w:p w14:paraId="1FC29670" w14:textId="77777777" w:rsidR="00E50C09" w:rsidRPr="00B52FC2" w:rsidRDefault="00E50C09" w:rsidP="00E50C09">
      <w:pPr>
        <w:jc w:val="both"/>
        <w:rPr>
          <w:rFonts w:ascii="Arial" w:hAnsi="Arial" w:cs="Arial"/>
          <w:lang w:val="es-ES"/>
        </w:rPr>
      </w:pPr>
      <w:r w:rsidRPr="00B52FC2">
        <w:rPr>
          <w:rFonts w:ascii="Arial" w:hAnsi="Arial" w:cs="Arial"/>
          <w:lang w:val="es-ES"/>
        </w:rPr>
        <w:t xml:space="preserve">En análisis de correlación de Pearson entre las variables de desenlace se demostró que existen diferencias estadísticamente significativas entre los valores del promedio de todos puros del habla pre-quirúrgicos y a los 6 y 12 meses (p=0.004 y 0.028 respectivamente). Adicionalmente, se encontró diferencias estadísticamente significativas entre los valores del porcentaje de discriminación del lenguaje pre-quirúrgico y a los 6 y 12 meses (p=0.000) sin ser significativos en el </w:t>
      </w:r>
      <w:proofErr w:type="spellStart"/>
      <w:r w:rsidRPr="00B52FC2">
        <w:rPr>
          <w:rFonts w:ascii="Arial" w:hAnsi="Arial" w:cs="Arial"/>
          <w:lang w:val="es-ES"/>
        </w:rPr>
        <w:t>Db</w:t>
      </w:r>
      <w:proofErr w:type="spellEnd"/>
      <w:r w:rsidRPr="00B52FC2">
        <w:rPr>
          <w:rFonts w:ascii="Arial" w:hAnsi="Arial" w:cs="Arial"/>
          <w:lang w:val="es-ES"/>
        </w:rPr>
        <w:t xml:space="preserve"> de los valores del de discriminación del lenguaje pre-quirúrgico y a los 6 o 12 meses (p&gt;0.05). Dada la significancia estadística, para los análisis posteriores se tomaron como variables de desenlace los valores del promedio de todos puros del habla y del porcentaje de discriminación del lenguaje. </w:t>
      </w:r>
    </w:p>
    <w:p w14:paraId="0712052E" w14:textId="77777777" w:rsidR="00E50C09" w:rsidRPr="00B52FC2" w:rsidRDefault="00E50C09" w:rsidP="00E50C09">
      <w:pPr>
        <w:jc w:val="both"/>
        <w:rPr>
          <w:rFonts w:ascii="Arial" w:hAnsi="Arial" w:cs="Arial"/>
          <w:lang w:val="es-ES"/>
        </w:rPr>
      </w:pPr>
    </w:p>
    <w:p w14:paraId="595D7BEB" w14:textId="77777777" w:rsidR="00E50C09" w:rsidRPr="00B52FC2" w:rsidRDefault="00E50C09" w:rsidP="00E50C09">
      <w:pPr>
        <w:jc w:val="both"/>
        <w:rPr>
          <w:rFonts w:ascii="Arial" w:hAnsi="Arial" w:cs="Arial"/>
          <w:lang w:val="es-ES"/>
        </w:rPr>
      </w:pPr>
      <w:r w:rsidRPr="00B52FC2">
        <w:rPr>
          <w:rFonts w:ascii="Arial" w:hAnsi="Arial" w:cs="Arial"/>
          <w:lang w:val="es-ES"/>
        </w:rPr>
        <w:t xml:space="preserve">Durante el análisis de las variables cualitativas, se encontró por medio del </w:t>
      </w:r>
      <w:proofErr w:type="spellStart"/>
      <w:r w:rsidRPr="00B52FC2">
        <w:rPr>
          <w:rFonts w:ascii="Arial" w:hAnsi="Arial" w:cs="Arial"/>
          <w:lang w:val="es-ES"/>
        </w:rPr>
        <w:t>chi</w:t>
      </w:r>
      <w:proofErr w:type="spellEnd"/>
      <w:r w:rsidRPr="00B52FC2">
        <w:rPr>
          <w:rFonts w:ascii="Arial" w:hAnsi="Arial" w:cs="Arial"/>
          <w:lang w:val="es-ES"/>
        </w:rPr>
        <w:t xml:space="preserve"> cuadrado una diferencia estadísticamente significativa para el tipo de dispositivo (p=0.000) y la etiología (p=0.000). Con los anteriores hallazgos se procedió a determinar el impacto que esto tenía sobre el desenlace. Se encontraron diferencias estadísticamente significativas entre el tipo de dispositivo y el valor del porcentaje de discriminación del lenguaje pre-quirúrgico (p=0.039), la etiología y el valor promedio de tonos puros pre-quirúrgicos (p=0.023) a los 6 meses (p=0.004); y del promedio de todos puros del habla a los 12 meses y la etiología (p=0.029). </w:t>
      </w:r>
    </w:p>
    <w:p w14:paraId="7267C7C6" w14:textId="77777777" w:rsidR="00E50C09" w:rsidRPr="00B52FC2" w:rsidRDefault="00E50C09" w:rsidP="00E50C09">
      <w:pPr>
        <w:jc w:val="both"/>
        <w:rPr>
          <w:rFonts w:ascii="Arial" w:hAnsi="Arial" w:cs="Arial"/>
          <w:lang w:val="es-ES"/>
        </w:rPr>
      </w:pPr>
    </w:p>
    <w:p w14:paraId="1267FC3B" w14:textId="046544B0" w:rsidR="00E50C09" w:rsidRPr="00B52FC2" w:rsidRDefault="00E50C09" w:rsidP="00E50C09">
      <w:pPr>
        <w:jc w:val="both"/>
        <w:rPr>
          <w:rFonts w:ascii="Arial" w:hAnsi="Arial" w:cs="Arial"/>
          <w:lang w:val="es-ES"/>
        </w:rPr>
      </w:pPr>
      <w:r w:rsidRPr="00B52FC2">
        <w:rPr>
          <w:rFonts w:ascii="Arial" w:hAnsi="Arial" w:cs="Arial"/>
          <w:lang w:val="es-ES"/>
        </w:rPr>
        <w:t xml:space="preserve">Se procedió a evaluar el impacto de las variables previamente descritas en un modelo de regresión lineal, para determinar el impacto de la etiología y dispositivo; se adicionaron las variables edad y </w:t>
      </w:r>
      <w:proofErr w:type="gramStart"/>
      <w:r w:rsidRPr="00B52FC2">
        <w:rPr>
          <w:rFonts w:ascii="Arial" w:hAnsi="Arial" w:cs="Arial"/>
          <w:lang w:val="es-ES"/>
        </w:rPr>
        <w:t>genero</w:t>
      </w:r>
      <w:proofErr w:type="gramEnd"/>
      <w:r w:rsidRPr="00B52FC2">
        <w:rPr>
          <w:rFonts w:ascii="Arial" w:hAnsi="Arial" w:cs="Arial"/>
          <w:lang w:val="es-ES"/>
        </w:rPr>
        <w:t xml:space="preserve"> al modelo de la regresión. Se encontró que el 22% de la varianza del valor de promedio de todos puros a los 6 meses es explicado por la etiología de la en</w:t>
      </w:r>
      <w:r w:rsidR="003A4A0F">
        <w:rPr>
          <w:rFonts w:ascii="Arial" w:hAnsi="Arial" w:cs="Arial"/>
          <w:lang w:val="es-ES"/>
        </w:rPr>
        <w:t>fermedad para (p=0.048) (Tabla 4</w:t>
      </w:r>
      <w:r w:rsidRPr="00B52FC2">
        <w:rPr>
          <w:rFonts w:ascii="Arial" w:hAnsi="Arial" w:cs="Arial"/>
          <w:lang w:val="es-ES"/>
        </w:rPr>
        <w:t xml:space="preserve">), mientras que el 29% de la varianza del porcentaje de </w:t>
      </w:r>
      <w:r w:rsidRPr="00B52FC2">
        <w:rPr>
          <w:rFonts w:ascii="Arial" w:hAnsi="Arial" w:cs="Arial"/>
          <w:lang w:val="es-ES"/>
        </w:rPr>
        <w:lastRenderedPageBreak/>
        <w:t>discriminación del lenguaje pre-quirúrgico es explicado por el tipo d</w:t>
      </w:r>
      <w:r w:rsidR="003A4A0F">
        <w:rPr>
          <w:rFonts w:ascii="Arial" w:hAnsi="Arial" w:cs="Arial"/>
          <w:lang w:val="es-ES"/>
        </w:rPr>
        <w:t>e dispositivo (p=0.004) (Tabla 4</w:t>
      </w:r>
      <w:r w:rsidRPr="00B52FC2">
        <w:rPr>
          <w:rFonts w:ascii="Arial" w:hAnsi="Arial" w:cs="Arial"/>
          <w:lang w:val="es-ES"/>
        </w:rPr>
        <w:t>).</w:t>
      </w:r>
    </w:p>
    <w:p w14:paraId="3A441C4E" w14:textId="0B0340FC" w:rsidR="00E50C09" w:rsidRPr="00B52FC2" w:rsidRDefault="00524CAB" w:rsidP="00E50C09">
      <w:pPr>
        <w:jc w:val="center"/>
        <w:rPr>
          <w:rFonts w:ascii="Arial" w:hAnsi="Arial" w:cs="Arial"/>
          <w:lang w:val="es-ES"/>
        </w:rPr>
      </w:pPr>
      <w:r>
        <w:rPr>
          <w:rFonts w:ascii="Arial" w:hAnsi="Arial" w:cs="Arial"/>
          <w:lang w:val="es-ES"/>
        </w:rPr>
        <w:t>Tabla 4</w:t>
      </w:r>
      <w:r w:rsidR="00E50C09" w:rsidRPr="00B52FC2">
        <w:rPr>
          <w:rFonts w:ascii="Arial" w:hAnsi="Arial" w:cs="Arial"/>
          <w:lang w:val="es-ES"/>
        </w:rPr>
        <w:t>. Resultados Regresión Lineal</w:t>
      </w:r>
    </w:p>
    <w:tbl>
      <w:tblPr>
        <w:tblStyle w:val="GridTable3-Accent11"/>
        <w:tblW w:w="5240" w:type="dxa"/>
        <w:jc w:val="center"/>
        <w:tblLook w:val="04A0" w:firstRow="1" w:lastRow="0" w:firstColumn="1" w:lastColumn="0" w:noHBand="0" w:noVBand="1"/>
      </w:tblPr>
      <w:tblGrid>
        <w:gridCol w:w="1960"/>
        <w:gridCol w:w="1980"/>
        <w:gridCol w:w="1300"/>
      </w:tblGrid>
      <w:tr w:rsidR="00E50C09" w:rsidRPr="00B52FC2" w14:paraId="1DFF547E" w14:textId="77777777" w:rsidTr="00E50C0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960" w:type="dxa"/>
            <w:noWrap/>
            <w:hideMark/>
          </w:tcPr>
          <w:p w14:paraId="61FEB101" w14:textId="77777777" w:rsidR="00E50C09" w:rsidRPr="00B52FC2" w:rsidRDefault="00E50C09" w:rsidP="00E50C09">
            <w:pPr>
              <w:rPr>
                <w:sz w:val="20"/>
                <w:szCs w:val="20"/>
                <w:lang w:val="es-ES"/>
              </w:rPr>
            </w:pPr>
          </w:p>
        </w:tc>
        <w:tc>
          <w:tcPr>
            <w:tcW w:w="1980" w:type="dxa"/>
            <w:noWrap/>
            <w:hideMark/>
          </w:tcPr>
          <w:p w14:paraId="02D956F2" w14:textId="77777777" w:rsidR="00E50C09" w:rsidRPr="00B52FC2" w:rsidRDefault="00E50C09" w:rsidP="00E50C0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Valor p</w:t>
            </w:r>
          </w:p>
        </w:tc>
        <w:tc>
          <w:tcPr>
            <w:tcW w:w="1300" w:type="dxa"/>
            <w:noWrap/>
            <w:hideMark/>
          </w:tcPr>
          <w:p w14:paraId="66E944C0" w14:textId="77777777" w:rsidR="00E50C09" w:rsidRPr="00B52FC2" w:rsidRDefault="00E50C09" w:rsidP="00E50C0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lang w:val="es-ES"/>
              </w:rPr>
            </w:pPr>
            <w:r w:rsidRPr="00B52FC2">
              <w:rPr>
                <w:rFonts w:ascii="Calibri" w:eastAsia="Times New Roman" w:hAnsi="Calibri"/>
                <w:color w:val="000000"/>
                <w:lang w:val="es-ES"/>
              </w:rPr>
              <w:t>R</w:t>
            </w:r>
            <w:r w:rsidRPr="00B52FC2">
              <w:rPr>
                <w:rFonts w:ascii="Calibri" w:eastAsia="Times New Roman" w:hAnsi="Calibri"/>
                <w:color w:val="000000"/>
                <w:vertAlign w:val="superscript"/>
                <w:lang w:val="es-ES"/>
              </w:rPr>
              <w:t>2</w:t>
            </w:r>
          </w:p>
        </w:tc>
      </w:tr>
      <w:tr w:rsidR="00E50C09" w:rsidRPr="00601355" w14:paraId="636C186A"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240" w:type="dxa"/>
            <w:gridSpan w:val="3"/>
            <w:noWrap/>
            <w:hideMark/>
          </w:tcPr>
          <w:p w14:paraId="67592EFA" w14:textId="77777777" w:rsidR="00E50C09" w:rsidRPr="00B52FC2" w:rsidRDefault="00E50C09" w:rsidP="00E50C09">
            <w:pPr>
              <w:jc w:val="center"/>
              <w:rPr>
                <w:rFonts w:ascii="Calibri" w:eastAsia="Times New Roman" w:hAnsi="Calibri"/>
                <w:color w:val="000000"/>
                <w:lang w:val="es-ES"/>
              </w:rPr>
            </w:pPr>
            <w:r w:rsidRPr="00B52FC2">
              <w:rPr>
                <w:rFonts w:ascii="Calibri" w:eastAsia="Times New Roman" w:hAnsi="Calibri"/>
                <w:color w:val="000000"/>
                <w:lang w:val="es-ES"/>
              </w:rPr>
              <w:t>Valor promedio de tonos puros a los 6 meses</w:t>
            </w:r>
          </w:p>
        </w:tc>
      </w:tr>
      <w:tr w:rsidR="00E50C09" w:rsidRPr="00B52FC2" w14:paraId="66BB201F"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44F1946B"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Constante</w:t>
            </w:r>
          </w:p>
        </w:tc>
        <w:tc>
          <w:tcPr>
            <w:tcW w:w="1980" w:type="dxa"/>
            <w:noWrap/>
            <w:hideMark/>
          </w:tcPr>
          <w:p w14:paraId="02D794A8"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0.003</w:t>
            </w:r>
          </w:p>
        </w:tc>
        <w:tc>
          <w:tcPr>
            <w:tcW w:w="1300" w:type="dxa"/>
            <w:vMerge w:val="restart"/>
            <w:noWrap/>
            <w:vAlign w:val="center"/>
            <w:hideMark/>
          </w:tcPr>
          <w:p w14:paraId="236EA4F5" w14:textId="77777777" w:rsidR="00E50C09" w:rsidRPr="00B52FC2" w:rsidRDefault="00E50C09" w:rsidP="00E50C0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0.22</w:t>
            </w:r>
          </w:p>
        </w:tc>
      </w:tr>
      <w:tr w:rsidR="00E50C09" w:rsidRPr="00B52FC2" w14:paraId="64DF790B"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33CC434B"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Edad</w:t>
            </w:r>
          </w:p>
        </w:tc>
        <w:tc>
          <w:tcPr>
            <w:tcW w:w="1980" w:type="dxa"/>
            <w:noWrap/>
            <w:hideMark/>
          </w:tcPr>
          <w:p w14:paraId="3E3E5BA7"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0.249</w:t>
            </w:r>
          </w:p>
        </w:tc>
        <w:tc>
          <w:tcPr>
            <w:tcW w:w="1300" w:type="dxa"/>
            <w:vMerge/>
            <w:noWrap/>
            <w:hideMark/>
          </w:tcPr>
          <w:p w14:paraId="794EF37A"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p>
        </w:tc>
      </w:tr>
      <w:tr w:rsidR="00E50C09" w:rsidRPr="00B52FC2" w14:paraId="702D1257"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C338039"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Dispositivo</w:t>
            </w:r>
          </w:p>
        </w:tc>
        <w:tc>
          <w:tcPr>
            <w:tcW w:w="1980" w:type="dxa"/>
            <w:noWrap/>
            <w:hideMark/>
          </w:tcPr>
          <w:p w14:paraId="0ECAF3C3"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0.353</w:t>
            </w:r>
          </w:p>
        </w:tc>
        <w:tc>
          <w:tcPr>
            <w:tcW w:w="1300" w:type="dxa"/>
            <w:vMerge/>
            <w:noWrap/>
            <w:hideMark/>
          </w:tcPr>
          <w:p w14:paraId="1AF6266E"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p>
        </w:tc>
      </w:tr>
      <w:tr w:rsidR="00E50C09" w:rsidRPr="00B52FC2" w14:paraId="5C9868F9"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0C257F48" w14:textId="77777777" w:rsidR="00E50C09" w:rsidRPr="00B52FC2" w:rsidRDefault="00E50C09" w:rsidP="00E50C09">
            <w:pPr>
              <w:rPr>
                <w:rFonts w:ascii="Arial" w:eastAsia="Times New Roman" w:hAnsi="Arial" w:cs="Arial"/>
                <w:i w:val="0"/>
                <w:color w:val="000000"/>
                <w:lang w:val="es-ES"/>
              </w:rPr>
            </w:pPr>
            <w:r w:rsidRPr="00B52FC2">
              <w:rPr>
                <w:rFonts w:ascii="Arial" w:eastAsia="Times New Roman" w:hAnsi="Arial" w:cs="Arial"/>
                <w:i w:val="0"/>
                <w:color w:val="000000"/>
                <w:lang w:val="es-ES"/>
              </w:rPr>
              <w:t>Etiología</w:t>
            </w:r>
          </w:p>
        </w:tc>
        <w:tc>
          <w:tcPr>
            <w:tcW w:w="1980" w:type="dxa"/>
            <w:noWrap/>
            <w:hideMark/>
          </w:tcPr>
          <w:p w14:paraId="1590A162"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0.048</w:t>
            </w:r>
          </w:p>
        </w:tc>
        <w:tc>
          <w:tcPr>
            <w:tcW w:w="1300" w:type="dxa"/>
            <w:vMerge/>
            <w:noWrap/>
            <w:hideMark/>
          </w:tcPr>
          <w:p w14:paraId="688BF73A"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p>
        </w:tc>
      </w:tr>
      <w:tr w:rsidR="00E50C09" w:rsidRPr="00601355" w14:paraId="43910AA5"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5240" w:type="dxa"/>
            <w:gridSpan w:val="3"/>
            <w:noWrap/>
            <w:hideMark/>
          </w:tcPr>
          <w:p w14:paraId="5E0010CA" w14:textId="77777777" w:rsidR="00E50C09" w:rsidRPr="00B52FC2" w:rsidRDefault="00E50C09" w:rsidP="00E50C09">
            <w:pPr>
              <w:jc w:val="center"/>
              <w:rPr>
                <w:rFonts w:ascii="Calibri" w:eastAsia="Times New Roman" w:hAnsi="Calibri"/>
                <w:color w:val="000000"/>
                <w:lang w:val="es-ES"/>
              </w:rPr>
            </w:pPr>
            <w:r w:rsidRPr="00B52FC2">
              <w:rPr>
                <w:rFonts w:ascii="Calibri" w:eastAsia="Times New Roman" w:hAnsi="Calibri"/>
                <w:color w:val="000000"/>
                <w:lang w:val="es-ES"/>
              </w:rPr>
              <w:t>Valor promedio de tonos puros a los 12 meses</w:t>
            </w:r>
          </w:p>
        </w:tc>
      </w:tr>
      <w:tr w:rsidR="00E50C09" w:rsidRPr="00B52FC2" w14:paraId="6F7B7448"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2E52400C"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Constante</w:t>
            </w:r>
          </w:p>
        </w:tc>
        <w:tc>
          <w:tcPr>
            <w:tcW w:w="1980" w:type="dxa"/>
            <w:noWrap/>
            <w:hideMark/>
          </w:tcPr>
          <w:p w14:paraId="246FD99D"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0.006</w:t>
            </w:r>
          </w:p>
        </w:tc>
        <w:tc>
          <w:tcPr>
            <w:tcW w:w="1300" w:type="dxa"/>
            <w:vMerge w:val="restart"/>
            <w:noWrap/>
            <w:vAlign w:val="center"/>
            <w:hideMark/>
          </w:tcPr>
          <w:p w14:paraId="71FC19EC" w14:textId="77777777" w:rsidR="00E50C09" w:rsidRPr="00B52FC2" w:rsidRDefault="00E50C09" w:rsidP="00E50C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val="es-ES"/>
              </w:rPr>
            </w:pPr>
            <w:r w:rsidRPr="00B52FC2">
              <w:rPr>
                <w:rFonts w:ascii="Calibri" w:eastAsia="Times New Roman" w:hAnsi="Calibri"/>
                <w:color w:val="000000"/>
                <w:lang w:val="es-ES"/>
              </w:rPr>
              <w:t>0.13</w:t>
            </w:r>
          </w:p>
        </w:tc>
      </w:tr>
      <w:tr w:rsidR="00E50C09" w:rsidRPr="00B52FC2" w14:paraId="0E40733F"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E28F09B"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Edad</w:t>
            </w:r>
          </w:p>
        </w:tc>
        <w:tc>
          <w:tcPr>
            <w:tcW w:w="1980" w:type="dxa"/>
            <w:noWrap/>
            <w:hideMark/>
          </w:tcPr>
          <w:p w14:paraId="33A34D4A"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0.603</w:t>
            </w:r>
          </w:p>
        </w:tc>
        <w:tc>
          <w:tcPr>
            <w:tcW w:w="1300" w:type="dxa"/>
            <w:vMerge/>
            <w:noWrap/>
            <w:hideMark/>
          </w:tcPr>
          <w:p w14:paraId="1AD8E7C7"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p>
        </w:tc>
      </w:tr>
      <w:tr w:rsidR="00E50C09" w:rsidRPr="00B52FC2" w14:paraId="7E2B65B4"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5991E2F8"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Dispositivo</w:t>
            </w:r>
          </w:p>
        </w:tc>
        <w:tc>
          <w:tcPr>
            <w:tcW w:w="1980" w:type="dxa"/>
            <w:noWrap/>
            <w:hideMark/>
          </w:tcPr>
          <w:p w14:paraId="4CBD2EF1"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0.312</w:t>
            </w:r>
          </w:p>
        </w:tc>
        <w:tc>
          <w:tcPr>
            <w:tcW w:w="1300" w:type="dxa"/>
            <w:vMerge/>
            <w:noWrap/>
            <w:hideMark/>
          </w:tcPr>
          <w:p w14:paraId="10BEAE24"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p>
        </w:tc>
      </w:tr>
      <w:tr w:rsidR="00E50C09" w:rsidRPr="00B52FC2" w14:paraId="6574F189"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1E9A74B"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Etiología</w:t>
            </w:r>
          </w:p>
        </w:tc>
        <w:tc>
          <w:tcPr>
            <w:tcW w:w="1980" w:type="dxa"/>
            <w:noWrap/>
            <w:hideMark/>
          </w:tcPr>
          <w:p w14:paraId="5BC3E0A8"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0.095</w:t>
            </w:r>
          </w:p>
        </w:tc>
        <w:tc>
          <w:tcPr>
            <w:tcW w:w="1300" w:type="dxa"/>
            <w:vMerge/>
            <w:noWrap/>
            <w:hideMark/>
          </w:tcPr>
          <w:p w14:paraId="048E62E7" w14:textId="77777777" w:rsidR="00E50C09" w:rsidRPr="00B52FC2" w:rsidRDefault="00E50C09" w:rsidP="00E50C09">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ES"/>
              </w:rPr>
            </w:pPr>
          </w:p>
        </w:tc>
      </w:tr>
      <w:tr w:rsidR="00E50C09" w:rsidRPr="00601355" w14:paraId="3C53DB36"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240" w:type="dxa"/>
            <w:gridSpan w:val="3"/>
            <w:noWrap/>
            <w:hideMark/>
          </w:tcPr>
          <w:p w14:paraId="526308C2" w14:textId="77777777" w:rsidR="00E50C09" w:rsidRPr="00B52FC2" w:rsidRDefault="00E50C09" w:rsidP="00E50C09">
            <w:pPr>
              <w:jc w:val="center"/>
              <w:rPr>
                <w:rFonts w:ascii="Calibri" w:eastAsia="Times New Roman" w:hAnsi="Calibri"/>
                <w:color w:val="000000"/>
                <w:lang w:val="es-ES"/>
              </w:rPr>
            </w:pPr>
            <w:r w:rsidRPr="00B52FC2">
              <w:rPr>
                <w:rFonts w:ascii="Calibri" w:eastAsia="Times New Roman" w:hAnsi="Calibri"/>
                <w:color w:val="000000"/>
                <w:lang w:val="es-ES"/>
              </w:rPr>
              <w:t>Valor del porcentaje de discriminación del lenguaje pre-quirúrgico</w:t>
            </w:r>
          </w:p>
        </w:tc>
      </w:tr>
      <w:tr w:rsidR="00E50C09" w:rsidRPr="00B52FC2" w14:paraId="47A181A5"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780D6D32"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Constante</w:t>
            </w:r>
          </w:p>
        </w:tc>
        <w:tc>
          <w:tcPr>
            <w:tcW w:w="1980" w:type="dxa"/>
            <w:noWrap/>
            <w:hideMark/>
          </w:tcPr>
          <w:p w14:paraId="36231B6A"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0.691</w:t>
            </w:r>
          </w:p>
        </w:tc>
        <w:tc>
          <w:tcPr>
            <w:tcW w:w="1300" w:type="dxa"/>
            <w:vMerge w:val="restart"/>
            <w:noWrap/>
            <w:vAlign w:val="center"/>
            <w:hideMark/>
          </w:tcPr>
          <w:p w14:paraId="7BDF7BE9" w14:textId="77777777" w:rsidR="00E50C09" w:rsidRPr="00B52FC2" w:rsidRDefault="00E50C09" w:rsidP="00E50C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val="es-ES"/>
              </w:rPr>
            </w:pPr>
            <w:r w:rsidRPr="00B52FC2">
              <w:rPr>
                <w:rFonts w:ascii="Calibri" w:eastAsia="Times New Roman" w:hAnsi="Calibri"/>
                <w:color w:val="000000"/>
                <w:lang w:val="es-ES"/>
              </w:rPr>
              <w:t>0.291</w:t>
            </w:r>
          </w:p>
        </w:tc>
      </w:tr>
      <w:tr w:rsidR="00E50C09" w:rsidRPr="00B52FC2" w14:paraId="42D97BAC"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19F77547"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Edad</w:t>
            </w:r>
          </w:p>
        </w:tc>
        <w:tc>
          <w:tcPr>
            <w:tcW w:w="1980" w:type="dxa"/>
            <w:noWrap/>
            <w:hideMark/>
          </w:tcPr>
          <w:p w14:paraId="455AF292"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0.33</w:t>
            </w:r>
          </w:p>
        </w:tc>
        <w:tc>
          <w:tcPr>
            <w:tcW w:w="1300" w:type="dxa"/>
            <w:vMerge/>
            <w:noWrap/>
            <w:hideMark/>
          </w:tcPr>
          <w:p w14:paraId="4D189358" w14:textId="77777777" w:rsidR="00E50C09" w:rsidRPr="00B52FC2" w:rsidRDefault="00E50C09" w:rsidP="00E50C0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p>
        </w:tc>
      </w:tr>
      <w:tr w:rsidR="00E50C09" w:rsidRPr="00B52FC2" w14:paraId="5AB6AD32" w14:textId="77777777" w:rsidTr="00E50C09">
        <w:trPr>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2C6A541F" w14:textId="77777777" w:rsidR="00E50C09" w:rsidRPr="00B52FC2" w:rsidRDefault="00E50C09" w:rsidP="00E50C09">
            <w:pPr>
              <w:rPr>
                <w:rFonts w:ascii="Arial" w:eastAsia="Times New Roman" w:hAnsi="Arial" w:cs="Arial"/>
                <w:i w:val="0"/>
                <w:color w:val="000000"/>
                <w:lang w:val="es-ES"/>
              </w:rPr>
            </w:pPr>
            <w:r w:rsidRPr="00B52FC2">
              <w:rPr>
                <w:rFonts w:ascii="Arial" w:eastAsia="Times New Roman" w:hAnsi="Arial" w:cs="Arial"/>
                <w:i w:val="0"/>
                <w:color w:val="000000"/>
                <w:lang w:val="es-ES"/>
              </w:rPr>
              <w:t>Dispositivo</w:t>
            </w:r>
          </w:p>
        </w:tc>
        <w:tc>
          <w:tcPr>
            <w:tcW w:w="1980" w:type="dxa"/>
            <w:noWrap/>
            <w:hideMark/>
          </w:tcPr>
          <w:p w14:paraId="0629EC8D" w14:textId="77777777" w:rsidR="00E50C09" w:rsidRPr="00B52FC2" w:rsidRDefault="00E50C09" w:rsidP="00E50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0.004</w:t>
            </w:r>
          </w:p>
        </w:tc>
        <w:tc>
          <w:tcPr>
            <w:tcW w:w="1300" w:type="dxa"/>
            <w:vMerge/>
            <w:noWrap/>
            <w:hideMark/>
          </w:tcPr>
          <w:p w14:paraId="1164950C" w14:textId="77777777" w:rsidR="00E50C09" w:rsidRPr="00B52FC2" w:rsidRDefault="00E50C09" w:rsidP="00E50C0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ES"/>
              </w:rPr>
            </w:pPr>
          </w:p>
        </w:tc>
      </w:tr>
      <w:tr w:rsidR="00E50C09" w:rsidRPr="00B52FC2" w14:paraId="058E874C" w14:textId="77777777" w:rsidTr="00E50C0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2D1F4E14" w14:textId="77777777" w:rsidR="00E50C09" w:rsidRPr="00B52FC2" w:rsidRDefault="00E50C09" w:rsidP="00E50C09">
            <w:pPr>
              <w:rPr>
                <w:rFonts w:ascii="Arial" w:eastAsia="Times New Roman" w:hAnsi="Arial" w:cs="Arial"/>
                <w:color w:val="000000"/>
                <w:lang w:val="es-ES"/>
              </w:rPr>
            </w:pPr>
            <w:r w:rsidRPr="00B52FC2">
              <w:rPr>
                <w:rFonts w:ascii="Arial" w:eastAsia="Times New Roman" w:hAnsi="Arial" w:cs="Arial"/>
                <w:color w:val="000000"/>
                <w:lang w:val="es-ES"/>
              </w:rPr>
              <w:t>Etiología</w:t>
            </w:r>
          </w:p>
        </w:tc>
        <w:tc>
          <w:tcPr>
            <w:tcW w:w="1980" w:type="dxa"/>
            <w:noWrap/>
            <w:hideMark/>
          </w:tcPr>
          <w:p w14:paraId="250312DC" w14:textId="77777777" w:rsidR="00E50C09" w:rsidRPr="00B52FC2" w:rsidRDefault="00E50C09" w:rsidP="00E50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r w:rsidRPr="00B52FC2">
              <w:rPr>
                <w:rFonts w:ascii="Arial" w:eastAsia="Times New Roman" w:hAnsi="Arial" w:cs="Arial"/>
                <w:color w:val="000000"/>
                <w:lang w:val="es-ES"/>
              </w:rPr>
              <w:t>0.226</w:t>
            </w:r>
          </w:p>
        </w:tc>
        <w:tc>
          <w:tcPr>
            <w:tcW w:w="1300" w:type="dxa"/>
            <w:vMerge/>
            <w:noWrap/>
            <w:hideMark/>
          </w:tcPr>
          <w:p w14:paraId="01F7413E" w14:textId="77777777" w:rsidR="00E50C09" w:rsidRPr="00B52FC2" w:rsidRDefault="00E50C09" w:rsidP="00E50C0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rPr>
            </w:pPr>
          </w:p>
        </w:tc>
      </w:tr>
    </w:tbl>
    <w:p w14:paraId="47E922B0" w14:textId="77777777" w:rsidR="00E50C09" w:rsidRDefault="00E50C09" w:rsidP="00E50C09">
      <w:pPr>
        <w:jc w:val="both"/>
        <w:rPr>
          <w:rFonts w:ascii="Arial" w:eastAsiaTheme="majorEastAsia" w:hAnsi="Arial" w:cstheme="majorBidi"/>
          <w:b/>
          <w:color w:val="000000" w:themeColor="text1"/>
          <w:sz w:val="32"/>
          <w:szCs w:val="32"/>
        </w:rPr>
      </w:pPr>
    </w:p>
    <w:p w14:paraId="55E48D9F" w14:textId="1052E9B1" w:rsidR="00E50C09" w:rsidRPr="00D71C24" w:rsidRDefault="00E50C09" w:rsidP="00E50C09">
      <w:pPr>
        <w:jc w:val="both"/>
        <w:rPr>
          <w:rFonts w:ascii="Arial" w:hAnsi="Arial" w:cs="Arial"/>
        </w:rPr>
      </w:pPr>
      <w:r w:rsidRPr="00D71C24">
        <w:rPr>
          <w:rFonts w:ascii="Arial" w:hAnsi="Arial" w:cs="Arial"/>
        </w:rPr>
        <w:t xml:space="preserve">En nuestra serie no se reportaron complicaciones </w:t>
      </w:r>
      <w:proofErr w:type="spellStart"/>
      <w:r w:rsidRPr="00D71C24">
        <w:rPr>
          <w:rFonts w:ascii="Arial" w:hAnsi="Arial" w:cs="Arial"/>
        </w:rPr>
        <w:t>intraoperatorias</w:t>
      </w:r>
      <w:proofErr w:type="spellEnd"/>
      <w:r w:rsidRPr="00D71C24">
        <w:rPr>
          <w:rFonts w:ascii="Arial" w:hAnsi="Arial" w:cs="Arial"/>
        </w:rPr>
        <w:t xml:space="preserve">, ni post operatorias durante todo el periodo de seguimiento. No tuvimos reportes de </w:t>
      </w:r>
      <w:r w:rsidR="003A4A0F" w:rsidRPr="00D71C24">
        <w:rPr>
          <w:rFonts w:ascii="Arial" w:hAnsi="Arial" w:cs="Arial"/>
        </w:rPr>
        <w:t>vértigo</w:t>
      </w:r>
      <w:r w:rsidRPr="00D71C24">
        <w:rPr>
          <w:rFonts w:ascii="Arial" w:hAnsi="Arial" w:cs="Arial"/>
        </w:rPr>
        <w:t xml:space="preserve">, inestabilidad ni </w:t>
      </w:r>
      <w:r w:rsidR="003A4A0F" w:rsidRPr="00D71C24">
        <w:rPr>
          <w:rFonts w:ascii="Arial" w:hAnsi="Arial" w:cs="Arial"/>
        </w:rPr>
        <w:t>afectación</w:t>
      </w:r>
      <w:r w:rsidRPr="00D71C24">
        <w:rPr>
          <w:rFonts w:ascii="Arial" w:hAnsi="Arial" w:cs="Arial"/>
        </w:rPr>
        <w:t xml:space="preserve"> del nervio facial en el post operatorio inmediato ni </w:t>
      </w:r>
      <w:r w:rsidR="003A4A0F" w:rsidRPr="00D71C24">
        <w:rPr>
          <w:rFonts w:ascii="Arial" w:hAnsi="Arial" w:cs="Arial"/>
        </w:rPr>
        <w:t>tardío</w:t>
      </w:r>
      <w:r w:rsidRPr="00D71C24">
        <w:rPr>
          <w:rFonts w:ascii="Arial" w:hAnsi="Arial" w:cs="Arial"/>
        </w:rPr>
        <w:t xml:space="preserve"> luego de 12 meses de seguimiento</w:t>
      </w:r>
      <w:r>
        <w:rPr>
          <w:rFonts w:ascii="Arial" w:hAnsi="Arial" w:cs="Arial"/>
        </w:rPr>
        <w:t>.</w:t>
      </w:r>
    </w:p>
    <w:p w14:paraId="2DC3FBF6" w14:textId="77777777" w:rsidR="00E50C09" w:rsidRPr="00E50C09" w:rsidRDefault="00E50C09" w:rsidP="00E50C09">
      <w:pPr>
        <w:pStyle w:val="Ttulo1"/>
        <w:rPr>
          <w:rFonts w:ascii="Arial" w:hAnsi="Arial" w:cs="Arial"/>
          <w:color w:val="auto"/>
          <w:sz w:val="24"/>
          <w:szCs w:val="24"/>
        </w:rPr>
      </w:pPr>
      <w:r w:rsidRPr="00E50C09">
        <w:rPr>
          <w:rFonts w:ascii="Arial" w:hAnsi="Arial" w:cs="Arial"/>
          <w:color w:val="auto"/>
          <w:sz w:val="24"/>
          <w:szCs w:val="24"/>
        </w:rPr>
        <w:t>Discusión</w:t>
      </w:r>
    </w:p>
    <w:p w14:paraId="09821771" w14:textId="77777777" w:rsidR="00E50C09" w:rsidRDefault="00E50C09" w:rsidP="00E50C09"/>
    <w:p w14:paraId="3132866F" w14:textId="0FF68FEB" w:rsidR="00383CA8" w:rsidRDefault="00383CA8" w:rsidP="00383CA8">
      <w:pPr>
        <w:jc w:val="both"/>
        <w:rPr>
          <w:rFonts w:ascii="Arial" w:hAnsi="Arial" w:cs="Arial"/>
        </w:rPr>
      </w:pPr>
      <w:r w:rsidRPr="00383CA8">
        <w:rPr>
          <w:rFonts w:ascii="Arial" w:hAnsi="Arial" w:cs="Arial"/>
        </w:rPr>
        <w:t>Existen pruebas de que durante el envejecimiento ocurre no solo una degeneración de la vía periférica, sino también de las áreas auditivas centrales</w:t>
      </w:r>
      <w:r w:rsidRPr="00383CA8">
        <w:rPr>
          <w:rFonts w:ascii="Arial" w:hAnsi="Arial" w:cs="Arial"/>
          <w:vertAlign w:val="superscript"/>
        </w:rPr>
        <w:t>26 27</w:t>
      </w:r>
      <w:r w:rsidRPr="00383CA8">
        <w:rPr>
          <w:rFonts w:ascii="Arial" w:hAnsi="Arial" w:cs="Arial"/>
        </w:rPr>
        <w:t xml:space="preserve">. El resultado de la rehabilitación en los pacientes mayores luego del IC parece ser consecuencia de las habilidades de memoria y aprendizaje al momento de la cirugía </w:t>
      </w:r>
      <w:r w:rsidRPr="00383CA8">
        <w:rPr>
          <w:rStyle w:val="Refdenotaalfinal"/>
          <w:rFonts w:ascii="Arial" w:hAnsi="Arial" w:cs="Arial"/>
        </w:rPr>
        <w:t>28</w:t>
      </w:r>
      <w:r w:rsidRPr="00383CA8">
        <w:rPr>
          <w:rFonts w:ascii="Arial" w:hAnsi="Arial" w:cs="Arial"/>
        </w:rPr>
        <w:t xml:space="preserve">. El rendimiento cognitivo es el factor </w:t>
      </w:r>
      <w:proofErr w:type="spellStart"/>
      <w:proofErr w:type="gramStart"/>
      <w:r w:rsidRPr="00383CA8">
        <w:rPr>
          <w:rFonts w:ascii="Arial" w:hAnsi="Arial" w:cs="Arial"/>
        </w:rPr>
        <w:t>mas</w:t>
      </w:r>
      <w:proofErr w:type="spellEnd"/>
      <w:proofErr w:type="gramEnd"/>
      <w:r w:rsidRPr="00383CA8">
        <w:rPr>
          <w:rFonts w:ascii="Arial" w:hAnsi="Arial" w:cs="Arial"/>
        </w:rPr>
        <w:t xml:space="preserve"> influyente sobre el resultado, independientemente de la edad. </w:t>
      </w:r>
    </w:p>
    <w:p w14:paraId="6775F957" w14:textId="77777777" w:rsidR="00383CA8" w:rsidRDefault="00383CA8" w:rsidP="00383CA8">
      <w:pPr>
        <w:jc w:val="both"/>
        <w:rPr>
          <w:rFonts w:ascii="Arial" w:hAnsi="Arial" w:cs="Arial"/>
        </w:rPr>
      </w:pPr>
    </w:p>
    <w:p w14:paraId="013E6848" w14:textId="77777777" w:rsidR="0009217B" w:rsidRDefault="00383CA8" w:rsidP="00383CA8">
      <w:pPr>
        <w:jc w:val="both"/>
        <w:rPr>
          <w:rFonts w:ascii="Arial" w:hAnsi="Arial" w:cs="Arial"/>
        </w:rPr>
      </w:pPr>
      <w:r w:rsidRPr="00383CA8">
        <w:rPr>
          <w:rFonts w:ascii="Arial" w:hAnsi="Arial" w:cs="Arial"/>
        </w:rPr>
        <w:t xml:space="preserve">La indicación para rehabilitación auditiva con cirugía de IC en adultos ha cambiado dramáticamente durante la </w:t>
      </w:r>
      <w:proofErr w:type="spellStart"/>
      <w:proofErr w:type="gramStart"/>
      <w:r w:rsidRPr="00383CA8">
        <w:rPr>
          <w:rFonts w:ascii="Arial" w:hAnsi="Arial" w:cs="Arial"/>
        </w:rPr>
        <w:t>ultima</w:t>
      </w:r>
      <w:proofErr w:type="spellEnd"/>
      <w:proofErr w:type="gramEnd"/>
      <w:r w:rsidRPr="00383CA8">
        <w:rPr>
          <w:rFonts w:ascii="Arial" w:hAnsi="Arial" w:cs="Arial"/>
        </w:rPr>
        <w:t xml:space="preserve"> década. Teniendo en cuenta los cambios socioculturales y el aumento en la expectativa de vida de la población, existe cada vez </w:t>
      </w:r>
      <w:proofErr w:type="spellStart"/>
      <w:proofErr w:type="gramStart"/>
      <w:r w:rsidRPr="00383CA8">
        <w:rPr>
          <w:rFonts w:ascii="Arial" w:hAnsi="Arial" w:cs="Arial"/>
        </w:rPr>
        <w:t>mas</w:t>
      </w:r>
      <w:proofErr w:type="spellEnd"/>
      <w:proofErr w:type="gramEnd"/>
      <w:r w:rsidRPr="00383CA8">
        <w:rPr>
          <w:rFonts w:ascii="Arial" w:hAnsi="Arial" w:cs="Arial"/>
        </w:rPr>
        <w:t xml:space="preserve"> un </w:t>
      </w:r>
      <w:proofErr w:type="spellStart"/>
      <w:r w:rsidRPr="00383CA8">
        <w:rPr>
          <w:rFonts w:ascii="Arial" w:hAnsi="Arial" w:cs="Arial"/>
        </w:rPr>
        <w:t>numero</w:t>
      </w:r>
      <w:proofErr w:type="spellEnd"/>
      <w:r w:rsidRPr="00383CA8">
        <w:rPr>
          <w:rFonts w:ascii="Arial" w:hAnsi="Arial" w:cs="Arial"/>
        </w:rPr>
        <w:t xml:space="preserve"> mayor de pacientes de edad avanzada con patología auditiva que requieren un adecuado manejo y rehabilitación. Debido a las restricciones económicas, y a su alto costo, se ha puesto en duda la conveniencia y beneficio de la cirugía de IC en pacientes de edad avanzada.  </w:t>
      </w:r>
    </w:p>
    <w:p w14:paraId="150E7D80" w14:textId="77777777" w:rsidR="0009217B" w:rsidRDefault="0009217B" w:rsidP="00383CA8">
      <w:pPr>
        <w:jc w:val="both"/>
        <w:rPr>
          <w:rFonts w:ascii="Arial" w:hAnsi="Arial" w:cs="Arial"/>
        </w:rPr>
      </w:pPr>
    </w:p>
    <w:p w14:paraId="6875EA85" w14:textId="308B16D6" w:rsidR="00383CA8" w:rsidRPr="004D2CDC" w:rsidRDefault="00383CA8" w:rsidP="00383CA8">
      <w:pPr>
        <w:jc w:val="both"/>
        <w:rPr>
          <w:rFonts w:ascii="Arial" w:hAnsi="Arial" w:cs="Arial"/>
        </w:rPr>
      </w:pPr>
      <w:r w:rsidRPr="00383CA8">
        <w:rPr>
          <w:rFonts w:ascii="Arial" w:hAnsi="Arial" w:cs="Arial"/>
        </w:rPr>
        <w:t>Adicionalmente otros aspectos individuales propios del envejec</w:t>
      </w:r>
      <w:r w:rsidR="0009217B">
        <w:rPr>
          <w:rFonts w:ascii="Arial" w:hAnsi="Arial" w:cs="Arial"/>
        </w:rPr>
        <w:t xml:space="preserve">imiento a tener en cuenta en </w:t>
      </w:r>
      <w:r w:rsidRPr="00383CA8">
        <w:rPr>
          <w:rFonts w:ascii="Arial" w:hAnsi="Arial" w:cs="Arial"/>
        </w:rPr>
        <w:t xml:space="preserve">estos pacientes son; cognición, comorbilidades, riesgo quirúrgico </w:t>
      </w:r>
      <w:r w:rsidRPr="00383CA8">
        <w:rPr>
          <w:rFonts w:ascii="Arial" w:hAnsi="Arial" w:cs="Arial"/>
        </w:rPr>
        <w:lastRenderedPageBreak/>
        <w:t xml:space="preserve">y anestésico, cumplimiento de los requisitos para la rehabilitación auditiva integral y el adecuado manejo de los dispositivos. </w:t>
      </w:r>
    </w:p>
    <w:p w14:paraId="013AD612" w14:textId="77777777" w:rsidR="00383CA8" w:rsidRPr="004D2CDC" w:rsidRDefault="00383CA8" w:rsidP="00383CA8">
      <w:pPr>
        <w:jc w:val="both"/>
        <w:rPr>
          <w:rFonts w:ascii="Arial" w:hAnsi="Arial" w:cs="Arial"/>
        </w:rPr>
      </w:pPr>
    </w:p>
    <w:p w14:paraId="4C9BD589" w14:textId="115BB6C6" w:rsidR="00383CA8" w:rsidRPr="004D2CDC" w:rsidRDefault="00383CA8" w:rsidP="00383CA8">
      <w:pPr>
        <w:jc w:val="both"/>
        <w:rPr>
          <w:rFonts w:ascii="Arial" w:hAnsi="Arial" w:cs="Arial"/>
        </w:rPr>
      </w:pPr>
      <w:r w:rsidRPr="004D2CDC">
        <w:rPr>
          <w:rFonts w:ascii="Arial" w:hAnsi="Arial" w:cs="Arial"/>
        </w:rPr>
        <w:t xml:space="preserve">La mejoría auditiva es el principal objetivo de la cirugía del implante coclear. Sin embargo parece ser que en pacientes mayores de 65 años, existe adicionalmente una mejoría en la calidad de vida, reducción del </w:t>
      </w:r>
      <w:proofErr w:type="spellStart"/>
      <w:r w:rsidRPr="004D2CDC">
        <w:rPr>
          <w:rFonts w:ascii="Arial" w:hAnsi="Arial" w:cs="Arial"/>
        </w:rPr>
        <w:t>tinnitus</w:t>
      </w:r>
      <w:proofErr w:type="spellEnd"/>
      <w:r w:rsidRPr="004D2CDC">
        <w:rPr>
          <w:rFonts w:ascii="Arial" w:hAnsi="Arial" w:cs="Arial"/>
        </w:rPr>
        <w:t xml:space="preserve">, y disminución de los trastornos mentales propios del envejecimiento. </w:t>
      </w:r>
    </w:p>
    <w:p w14:paraId="33EB645C" w14:textId="77777777" w:rsidR="00383CA8" w:rsidRPr="004D2CDC" w:rsidRDefault="00383CA8" w:rsidP="00383CA8">
      <w:pPr>
        <w:jc w:val="both"/>
        <w:rPr>
          <w:rFonts w:ascii="Arial" w:hAnsi="Arial" w:cs="Arial"/>
        </w:rPr>
      </w:pPr>
    </w:p>
    <w:p w14:paraId="08C964F3" w14:textId="77777777" w:rsidR="00383CA8" w:rsidRPr="004D2CDC" w:rsidRDefault="00383CA8" w:rsidP="00E50C09">
      <w:pPr>
        <w:rPr>
          <w:rFonts w:ascii="Arial" w:hAnsi="Arial" w:cs="Arial"/>
        </w:rPr>
      </w:pPr>
    </w:p>
    <w:p w14:paraId="52A5E7DB" w14:textId="77777777" w:rsidR="00E50C09" w:rsidRPr="004D2CDC" w:rsidRDefault="00E50C09" w:rsidP="00E50C09">
      <w:pPr>
        <w:jc w:val="both"/>
        <w:rPr>
          <w:rFonts w:ascii="Arial" w:hAnsi="Arial" w:cs="Arial"/>
          <w:lang w:val="es-ES"/>
        </w:rPr>
      </w:pPr>
      <w:r w:rsidRPr="004D2CDC">
        <w:rPr>
          <w:rFonts w:ascii="Arial" w:hAnsi="Arial" w:cs="Arial"/>
          <w:lang w:val="es-ES"/>
        </w:rPr>
        <w:t xml:space="preserve">El presente estudio contó con una muestra total de 33 pacientes cuyas historias clínicas fueron valoradas retrospectivamente en adultos mayores de 65 años en el Hospital Universitario San Rafael y quienes fueron llevados a implante coclear. El análisis de los datos permite confirmar que el implante coclear consistentemente mejora los resultados en las pruebas </w:t>
      </w:r>
      <w:proofErr w:type="spellStart"/>
      <w:r w:rsidRPr="004D2CDC">
        <w:rPr>
          <w:rFonts w:ascii="Arial" w:hAnsi="Arial" w:cs="Arial"/>
          <w:lang w:val="es-ES"/>
        </w:rPr>
        <w:t>audiométricas</w:t>
      </w:r>
      <w:proofErr w:type="spellEnd"/>
      <w:r w:rsidRPr="004D2CDC">
        <w:rPr>
          <w:rFonts w:ascii="Arial" w:hAnsi="Arial" w:cs="Arial"/>
          <w:lang w:val="es-ES"/>
        </w:rPr>
        <w:t xml:space="preserve">, como ha sido previamente descrito en pacientes mayores (&gt;60 años) y muy mayores (&gt;85 años) </w:t>
      </w:r>
      <w:r w:rsidRPr="004D2CDC">
        <w:rPr>
          <w:rFonts w:ascii="Arial" w:hAnsi="Arial" w:cs="Arial"/>
          <w:lang w:val="es-ES"/>
        </w:rPr>
        <w:fldChar w:fldCharType="begin" w:fldLock="1"/>
      </w:r>
      <w:r w:rsidRPr="004D2CDC">
        <w:rPr>
          <w:rFonts w:ascii="Arial" w:hAnsi="Arial" w:cs="Arial"/>
          <w:lang w:val="es-ES"/>
        </w:rPr>
        <w:instrText>ADDIN CSL_CITATION { "citationItems" : [ { "id" : "ITEM-1", "itemData" : { "DOI" : "10.1016/j.joto.2016.03.004", "ISSN" : "16722930", "abstract" : "Global demographic changes related to longevity are leading to increasing numbers of the elderly, for whom hearing loss is a significant cause of morbidity and disability. Once met with reticence, severely hearing impaired older adults are increasingly being considered for cochlear implantation (CI). Significant data indicate that CI in the elderly population is safe, well-tolerated, and effective. Risks from CI surgery and anesthesia are low and generally comparable to rates in other age groups. Outcomes studies regarding CI in older adults have shown excellent improvements to speech perception, quality of life, and even cognition. Overall, currently available data suggests that advanced age should not, in itself, be considered a barrier to implantation. This review paper will highlight selected articles from recent medical literature regarding the safety and efficacy of CI in the elderly population.", "author" : [ { "dropping-particle" : "", "family" : "Yang", "given" : "Zao", "non-dropping-particle" : "", "parse-names" : false, "suffix" : "" }, { "dropping-particle" : "", "family" : "Cosetti", "given" : "Maura", "non-dropping-particle" : "", "parse-names" : false, "suffix" : "" } ], "container-title" : "Journal of Otology", "id" : "ITEM-1", "issue" : "1", "issued" : { "date-parts" : [ [ "2016" ] ] }, "page" : "1-6", "publisher" : "Elsevier Ltd", "title" : "Safety and outcomes of cochlear implantation in the elderly: A review of recent literature", "type" : "article-journal", "volume" : "11" }, "uris" : [ "http://www.mendeley.com/documents/?uuid=dab7163e-a788-404b-8121-d490dd978f2e" ] }, { "id" : "ITEM-2", "itemData" : { "DOI" : "10.1097/MAO.0000000000000920", "ISSN" : "1531-7129", "PMID" : "26649605", "abstract" : "OBJECTIVE: To evaluate the outcomes after cochlear implantation (CI) in the elderly population, with a particular emphasis on perioperative complications, dizziness, and speech perception outcomes. STUDY DESIGN: A retrospective cohort study of elderly cochlear implant patients. SETTING: Tertiary referral center (Cochlear Implant Clinic, Royal Victorian Eye and Ear Hospital, Melbourne). PATIENTS: All patients aged 75 and above at the time of first cochlear implant (N = 150). Comparison was made between groups aged 85+ to 80-84, and 75-79. INTERVENTIONS: All patients received Nucleus devices (either CI512 or CI24RE(CA)). MAIN OUTCOME MEASURES: Speech recognition scores both pre- and postimplantation, symptomatic dizziness and effects upon independent living after surgery, and the incidence of perioperative medical and surgical complications. Complications were classified as major (intrinsic device failure, device migration, extracochlear insertion, meningitis, surgical site infection requiring reoperation, wound breakdown, permanent facial nerve paralysis) and minor (tinnitus, transient facial nerve palsy, facial nerve stimulation, taste disturbance, delayed wound healing). RESULTS: All three cohorts had poor preoperative speech perception. There was significant improvement in postoperative word scores at 3 and 12 months across all groups. There was no statistically significant difference between the three cohorts in terms of speech recognition outcomes at 3 and 12 months. After surgery, more than 20% of patients at all ages experienced transient imbalance, although the incidence did not differ significantly between age groups (p = 0.71). In total, there were 13 major complications in 7 patients (4.7%), and 28 minor complications in 25 patients (16.7%). CONCLUSION: Postoperative disequilibrium was commonly observed in this elderly population, yet patients still benefited with improved speech perception after cochlear implantation. Elderly patients can benefit from cochlear implantation, and age should not be a limitation for CI surgery. Cochlear implantation can be done safely and provides significant patient benefits.", "author" : [ { "dropping-particle" : "", "family" : "Wong", "given" : "Daniel Jun Yi", "non-dropping-particle" : "", "parse-names" : false, "suffix" : "" }, { "dropping-particle" : "", "family" : "Moran", "given" : "Michelle", "non-dropping-particle" : "", "parse-names" : false, "suffix" : "" }, { "dropping-particle" : "", "family" : "O\u2019Leary", "given" : "Stephen John", "non-dropping-particle" : "", "parse-names" : false, "suffix" : "" } ], "container-title" : "Otology &amp; Neurotology", "id" : "ITEM-2", "issue" : "1", "issued" : { "date-parts" : [ [ "2016" ] ] }, "page" : "46-51", "title" : "Outcomes After Cochlear Implantation in the Very Elderly", "type" : "article-journal", "volume" : "37" }, "uris" : [ "http://www.mendeley.com/documents/?uuid=36ca55e4-0fc5-45f9-9068-9b0f2fae478c" ] }, { "id" : "ITEM-3", "itemData" : { "abstract" : "The objective of this study is to determine the auditory gain, quality of life, audiological benefits, in bone-anchored hearing device users (BAHA). It is a retrospective and concurrent evaluation of thirty patients fitted unilaterally and seven fitted bilaterally for at least six months. Patients were assessed with audiometric testing and application of Glasgow Benefit Inventory (GBI) and Abbreviated Profile of Hearing Aid Benefit (APHAB). Regarding sound-field pure audiometry results, we found a statistically significant gain in all frequencies using the bone-anchored device. APHAB scores showed statistically significant subjective audiological gains in all subscales except for the aversiveness subscale. GBI mean scores for all items in both groups were all above 3, suggesting quality of life improvement in conductive and mixed hearing loss patients. BP100 users showed a greater clinical gain in the APHAB global score and subscales compared with Divino users. In conclusion the BAHA provides significant auditory gain, subjective audiological benefits and improves quality of life in all BAHA users. This study shows a significant clinical and statistical benefit of BAHA measured by audiometric testing and by the APHAB and GBI questionnaires.", "author" : [ { "dropping-particle" : "De", "family" : "Bogot\u00e1", "given" : "Santaf\u00e9", "non-dropping-particle" : "", "parse-names" : false, "suffix" : "" }, { "dropping-particle" : "", "family" : "Pe\u00f1aranda", "given" : "Augusto", "non-dropping-particle" : "", "parse-names" : false, "suffix" : "" }, { "dropping-particle" : "", "family" : "Garcia", "given" : "Juan Manuel", "non-dropping-particle" : "", "parse-names" : false, "suffix" : "" }, { "dropping-particle" : "", "family" : "Aparicio", "given" : "Maria Leonor", "non-dropping-particle" : "", "parse-names" : false, "suffix" : "" }, { "dropping-particle" : "", "family" : "Montes", "given" : "Felipe", "non-dropping-particle" : "", "parse-names" : false, "suffix" : "" }, { "dropping-particle" : "", "family" : "Bar\u00f3n", "given" : "Clemencia", "non-dropping-particle" : "", "parse-names" : false, "suffix" : "" }, { "dropping-particle" : "", "family" : "Jim\u00e9nez", "given" : "Roberto C", "non-dropping-particle" : "", "parse-names" : false, "suffix" : "" }, { "dropping-particle" : "", "family" : "Pe\u00f1aranda", "given" : "Daniel", "non-dropping-particle" : "", "parse-names" : false, "suffix" : "" } ], "container-title" : "International Journal of Otolaryngology and Head &amp; Neck Surgery,", "id" : "ITEM-3", "issue" : "March", "issued" : { "date-parts" : [ [ "2016" ] ] }, "page" : "44-53", "title" : "Auditory Gain , Quality of Life , and Audiological Benefits in Bone-Anchored Hearing Device Users in Fundaci\u00f3n", "type" : "article-journal", "volume" : "5" }, "uris" : [ "http://www.mendeley.com/documents/?uuid=27ae77f3-8c14-4cea-a411-4822c606d38d" ] } ], "mendeley" : { "formattedCitation" : "&lt;sup&gt;10,16,17&lt;/sup&gt;", "manualFormatting" : "0,16,17", "plainTextFormattedCitation" : "10,16,17", "previouslyFormattedCitation" : "&lt;sup&gt;10,16,17&lt;/sup&gt;" }, "properties" : { "noteIndex" : 0 }, "schema" : "https://github.com/citation-style-language/schema/raw/master/csl-citation.json" }</w:instrText>
      </w:r>
      <w:r w:rsidRPr="004D2CDC">
        <w:rPr>
          <w:rFonts w:ascii="Arial" w:hAnsi="Arial" w:cs="Arial"/>
          <w:lang w:val="es-ES"/>
        </w:rPr>
        <w:fldChar w:fldCharType="separate"/>
      </w:r>
      <w:r w:rsidRPr="004D2CDC">
        <w:rPr>
          <w:rFonts w:ascii="Arial" w:hAnsi="Arial" w:cs="Arial"/>
          <w:noProof/>
          <w:vertAlign w:val="superscript"/>
          <w:lang w:val="es-ES"/>
        </w:rPr>
        <w:t>0,16,17</w:t>
      </w:r>
      <w:r w:rsidRPr="004D2CDC">
        <w:rPr>
          <w:rFonts w:ascii="Arial" w:hAnsi="Arial" w:cs="Arial"/>
          <w:lang w:val="es-ES"/>
        </w:rPr>
        <w:fldChar w:fldCharType="end"/>
      </w:r>
      <w:r w:rsidRPr="004D2CDC">
        <w:rPr>
          <w:rFonts w:ascii="Arial" w:hAnsi="Arial" w:cs="Arial"/>
          <w:lang w:val="es-ES"/>
        </w:rPr>
        <w:t xml:space="preserve"> y por ende indica su uso en estos pacientes. Nuestros datos, permiten determinar que los pacientes pasan de tener hipoacusia severa sin discriminación de palabras a una discriminación entre 3-5 palabras e hipoacusia leve; lo cual no es valorado en el presente estudio pero es conocido por mejorar la calidad de vida de estos pacientes, </w:t>
      </w:r>
      <w:r w:rsidRPr="004D2CDC">
        <w:rPr>
          <w:rFonts w:ascii="Arial" w:hAnsi="Arial" w:cs="Arial"/>
          <w:lang w:val="es-ES"/>
        </w:rPr>
        <w:fldChar w:fldCharType="begin" w:fldLock="1"/>
      </w:r>
      <w:r w:rsidRPr="004D2CDC">
        <w:rPr>
          <w:rFonts w:ascii="Arial" w:hAnsi="Arial" w:cs="Arial"/>
          <w:lang w:val="es-ES"/>
        </w:rPr>
        <w:instrText>ADDIN CSL_CITATION { "citationItems" : [ { "id" : "ITEM-1", "itemData" : { "ISSN" : "1050-0545", "PMID" : "17402301", "abstract" : "This is the final report of the American Academy of Audiology Task Force on the Health-Related Quality of Life (HRQoL) Benefits of Amplification in Adults. A systematic review with meta-analysis examined evidence pertaining to the use of hearing aids for improving HRQoL for adults with sensorineural hearing loss (SNHL). Relevant search strings applied to the CENTRAL, CINAHL, Cochrane Reviews, ComDisDome, EBMR, and PubMed databases identified randomized controlled trial, quasi-experimental, and nonexperimental pre-post test designed studies. Sixteen studies met a priori criteria for inclusion in this review. A random-effects meta-analysis showed differential results for generic versus disease-specific HRQoL measures for within- and between-subject designs. Although generic measures used for within-subject designs did not demonstrate HRQoL benefits from hearing aids, mean effect sizes and confidence intervals for within-subject designs and disease-specific instruments suggested that hearing aids have a small-to-medium impact on HRQoL. Further, the between-subject studies supported at least a small effect for generic measures, and when measured by disease-specific instruments, hearing aids had medium-to-large effects on adults' HRQoL. This review concludes that hearing aids improve adults' HRQoL by reducing psychological, social, and emotional effects of SNHL. Future studies should include control groups using randomized controlled trials.", "author" : [ { "dropping-particle" : "", "family" : "Chisolm", "given" : "Theresa Hnath", "non-dropping-particle" : "", "parse-names" : false, "suffix" : "" }, { "dropping-particle" : "", "family" : "Johnson", "given" : "Carole E", "non-dropping-particle" : "", "parse-names" : false, "suffix" : "" }, { "dropping-particle" : "", "family" : "Danhauer", "given" : "Jeffrey L", "non-dropping-particle" : "", "parse-names" : false, "suffix" : "" }, { "dropping-particle" : "", "family" : "Portz", "given" : "Laural J P", "non-dropping-particle" : "", "parse-names" : false, "suffix" : "" }, { "dropping-particle" : "", "family" : "Abrams", "given" : "Harvey B", "non-dropping-particle" : "", "parse-names" : false, "suffix" : "" }, { "dropping-particle" : "", "family" : "Lesner", "given" : "Sharon", "non-dropping-particle" : "", "parse-names" : false, "suffix" : "" }, { "dropping-particle" : "", "family" : "McCarthy", "given" : "Patricia A", "non-dropping-particle" : "", "parse-names" : false, "suffix" : "" }, { "dropping-particle" : "", "family" : "Newman", "given" : "Craig W", "non-dropping-particle" : "", "parse-names" : false, "suffix" : "" } ], "container-title" : "Journal of the American Academy of Audiology", "id" : "ITEM-1", "issue" : "2", "issued" : { "date-parts" : [ [ "2007", "2" ] ] }, "page" : "151-83", "title" : "A systematic review of health-related quality of life and hearing aids: final report of the American Academy of Audiology Task Force On the Health-Related Quality of Life Benefits of Amplification in Adults.", "type" : "article-journal", "volume" : "18" }, "uris" : [ "http://www.mendeley.com/documents/?uuid=97b40ab1-220a-4340-b5e3-e59dda2aa53b" ] }, { "id" : "ITEM-2", "itemData" : { "abstract" : "The objective of this study is to determine the auditory gain, quality of life, audiological benefits, in bone-anchored hearing device users (BAHA). It is a retrospective and concurrent evaluation of thirty patients fitted unilaterally and seven fitted bilaterally for at least six months. Patients were assessed with audiometric testing and application of Glasgow Benefit Inventory (GBI) and Abbreviated Profile of Hearing Aid Benefit (APHAB). Regarding sound-field pure audiometry results, we found a statistically significant gain in all frequencies using the bone-anchored device. APHAB scores showed statistically significant subjective audiological gains in all subscales except for the aversiveness subscale. GBI mean scores for all items in both groups were all above 3, suggesting quality of life improvement in conductive and mixed hearing loss patients. BP100 users showed a greater clinical gain in the APHAB global score and subscales compared with Divino users. In conclusion the BAHA provides significant auditory gain, subjective audiological benefits and improves quality of life in all BAHA users. This study shows a significant clinical and statistical benefit of BAHA measured by audiometric testing and by the APHAB and GBI questionnaires.", "author" : [ { "dropping-particle" : "De", "family" : "Bogot\u00e1", "given" : "Santaf\u00e9", "non-dropping-particle" : "", "parse-names" : false, "suffix" : "" }, { "dropping-particle" : "", "family" : "Pe\u00f1aranda", "given" : "Augusto", "non-dropping-particle" : "", "parse-names" : false, "suffix" : "" }, { "dropping-particle" : "", "family" : "Garcia", "given" : "Juan Manuel", "non-dropping-particle" : "", "parse-names" : false, "suffix" : "" }, { "dropping-particle" : "", "family" : "Aparicio", "given" : "Maria Leonor", "non-dropping-particle" : "", "parse-names" : false, "suffix" : "" }, { "dropping-particle" : "", "family" : "Montes", "given" : "Felipe", "non-dropping-particle" : "", "parse-names" : false, "suffix" : "" }, { "dropping-particle" : "", "family" : "Bar\u00f3n", "given" : "Clemencia", "non-dropping-particle" : "", "parse-names" : false, "suffix" : "" }, { "dropping-particle" : "", "family" : "Jim\u00e9nez", "given" : "Roberto C", "non-dropping-particle" : "", "parse-names" : false, "suffix" : "" }, { "dropping-particle" : "", "family" : "Pe\u00f1aranda", "given" : "Daniel", "non-dropping-particle" : "", "parse-names" : false, "suffix" : "" } ], "container-title" : "International Journal of Otolaryngology and Head &amp; Neck Surgery,", "id" : "ITEM-2", "issue" : "March", "issued" : { "date-parts" : [ [ "2016" ] ] }, "page" : "44-53", "title" : "Auditory Gain , Quality of Life , and Audiological Benefits in Bone-Anchored Hearing Device Users in Fundaci\u00f3n", "type" : "article-journal", "volume" : "5" }, "uris" : [ "http://www.mendeley.com/documents/?uuid=27ae77f3-8c14-4cea-a411-4822c606d38d" ] } ], "mendeley" : { "formattedCitation" : "&lt;sup&gt;17,18&lt;/sup&gt;", "plainTextFormattedCitation" : "17,18", "previouslyFormattedCitation" : "&lt;sup&gt;17,18&lt;/sup&gt;" }, "properties" : { "noteIndex" : 66 }, "schema" : "https://github.com/citation-style-language/schema/raw/master/csl-citation.json" }</w:instrText>
      </w:r>
      <w:r w:rsidRPr="004D2CDC">
        <w:rPr>
          <w:rFonts w:ascii="Arial" w:hAnsi="Arial" w:cs="Arial"/>
          <w:lang w:val="es-ES"/>
        </w:rPr>
        <w:fldChar w:fldCharType="separate"/>
      </w:r>
      <w:r w:rsidRPr="004D2CDC">
        <w:rPr>
          <w:rFonts w:ascii="Arial" w:hAnsi="Arial" w:cs="Arial"/>
          <w:noProof/>
          <w:vertAlign w:val="superscript"/>
          <w:lang w:val="es-ES"/>
        </w:rPr>
        <w:t>17,18</w:t>
      </w:r>
      <w:r w:rsidRPr="004D2CDC">
        <w:rPr>
          <w:rFonts w:ascii="Arial" w:hAnsi="Arial" w:cs="Arial"/>
          <w:lang w:val="es-ES"/>
        </w:rPr>
        <w:fldChar w:fldCharType="end"/>
      </w:r>
      <w:r w:rsidRPr="004D2CDC">
        <w:rPr>
          <w:rFonts w:ascii="Arial" w:hAnsi="Arial" w:cs="Arial"/>
          <w:lang w:val="es-ES"/>
        </w:rPr>
        <w:t xml:space="preserve"> hallazgos que son consistentes en la revisión sistemática de la literatura publicada en el año 2015, que encontró mejorías en la percepción del lenguaje, la funcionalidad social y en general la calidad de vida.</w:t>
      </w:r>
      <w:r w:rsidRPr="004D2CDC">
        <w:rPr>
          <w:rFonts w:ascii="Arial" w:hAnsi="Arial" w:cs="Arial"/>
          <w:lang w:val="es-ES"/>
        </w:rPr>
        <w:fldChar w:fldCharType="begin" w:fldLock="1"/>
      </w:r>
      <w:r w:rsidRPr="004D2CDC">
        <w:rPr>
          <w:rFonts w:ascii="Arial" w:hAnsi="Arial" w:cs="Arial"/>
          <w:lang w:val="es-ES"/>
        </w:rPr>
        <w:instrText>ADDIN CSL_CITATION { "citationItems" : [ { "id" : "ITEM-1", "itemData" : { "DOI" : "10.1111/j.1749-4486.2011.02302.x", "ISSN" : "1749-4486", "PMID" : "21414178", "abstract" : "OBJECTIVES To examine sentence recognition and self-report outcomes in hearing-impaired persons with different auditory profiles and who were fitted unilaterally with a bone-anchored hearing aid. STUDY-DESIGN Prospective cohort study. SETTING Tertiary referral unit. PATIENTS Data were collected of six patients with single-sided deafness (SSD), seven with a mild to severe hearing loss at the bone-anchored hearing aid side and (near-)normal hearing at the other side and six with a severe bilateral hearing loss. MAIN OUTCOME MEASUREMENTS Sound field thresholds, and sentence recognition in noise (presented from different angles) with bone-anchored hearing aid, without bone-anchored hearing aid and with bone-anchored hearing aid and other ear occluded. In addition, the Speech, Spatial and Qualities of hearing scale and the Abbreviated Profile of Hearing Aid Benefit questionnaire were administered as self-report measures. RESULTS Patients with single-sided deafness listened mainly with their non-bone-anchored hearing aid ear, although the bone-anchored hearing aid lifted the head shadow effect. Patients with mild to severe hearing loss at the bone-anchored hearing aid side and (near-)normal hearing at the other side performed significantly differently in aided and unaided conditions and even regained limited binaural sensitivity with the device. The latter was also true for the patients with severe bilateral hearing loss. However, their hearing loss at the non-bone-anchored hearing aid side was too great to contribute to hearing and they listened predominantly with their bone-anchored hearing aid. Self-report outcomes provided useful information on hearing disability, although this information was not significantly differently for the 3 groups of patients. CONCLUSIONS The bone-anchored hearing aid enhanced performance in different hearing configurations, albeit to different extents.", "author" : [ { "dropping-particle" : "", "family" : "Wieringen", "given" : "A", "non-dropping-particle" : "van", "parse-names" : false, "suffix" : "" }, { "dropping-particle" : "", "family" : "Voecht", "given" : "K", "non-dropping-particle" : "De", "parse-names" : false, "suffix" : "" }, { "dropping-particle" : "", "family" : "Bosman", "given" : "A J", "non-dropping-particle" : "", "parse-names" : false, "suffix" : "" }, { "dropping-particle" : "", "family" : "Wouters", "given" : "J", "non-dropping-particle" : "", "parse-names" : false, "suffix" : "" } ], "container-title" : "Clinical otolaryngology : official journal of ENT-UK ; official journal of Netherlands Society for Oto-Rhino-Laryngology &amp; Cervico-Facial Surgery", "id" : "ITEM-1", "issue" : "2", "issued" : { "date-parts" : [ [ "2011", "4" ] ] }, "page" : "114-20", "title" : "Functional benefit of the bone-anchored hearing aid with different auditory profiles: objective and subjective measures.", "type" : "article-journal", "volume" : "36" }, "uris" : [ "http://www.mendeley.com/documents/?uuid=8566c560-c779-4aa1-887b-7a28972de204" ] } ], "mendeley" : { "formattedCitation" : "&lt;sup&gt;19&lt;/sup&gt;", "plainTextFormattedCitation" : "19", "previouslyFormattedCitation" : "&lt;sup&gt;19&lt;/sup&gt;" }, "properties" : { "noteIndex" : 16 }, "schema" : "https://github.com/citation-style-language/schema/raw/master/csl-citation.json" }</w:instrText>
      </w:r>
      <w:r w:rsidRPr="004D2CDC">
        <w:rPr>
          <w:rFonts w:ascii="Arial" w:hAnsi="Arial" w:cs="Arial"/>
          <w:lang w:val="es-ES"/>
        </w:rPr>
        <w:fldChar w:fldCharType="separate"/>
      </w:r>
      <w:r w:rsidRPr="004D2CDC">
        <w:rPr>
          <w:rFonts w:ascii="Arial" w:hAnsi="Arial" w:cs="Arial"/>
          <w:noProof/>
          <w:vertAlign w:val="superscript"/>
          <w:lang w:val="es-ES"/>
        </w:rPr>
        <w:t>19</w:t>
      </w:r>
      <w:r w:rsidRPr="004D2CDC">
        <w:rPr>
          <w:rFonts w:ascii="Arial" w:hAnsi="Arial" w:cs="Arial"/>
          <w:lang w:val="es-ES"/>
        </w:rPr>
        <w:fldChar w:fldCharType="end"/>
      </w:r>
      <w:r w:rsidRPr="004D2CDC">
        <w:rPr>
          <w:rFonts w:ascii="Arial" w:hAnsi="Arial" w:cs="Arial"/>
          <w:lang w:val="es-ES"/>
        </w:rPr>
        <w:t xml:space="preserve"> </w:t>
      </w:r>
    </w:p>
    <w:p w14:paraId="067F80C8" w14:textId="77777777" w:rsidR="00383CA8" w:rsidRPr="004D2CDC" w:rsidRDefault="00383CA8" w:rsidP="00E50C09">
      <w:pPr>
        <w:jc w:val="both"/>
        <w:rPr>
          <w:rFonts w:ascii="Arial" w:hAnsi="Arial" w:cs="Arial"/>
          <w:lang w:val="es-ES"/>
        </w:rPr>
      </w:pPr>
    </w:p>
    <w:p w14:paraId="79A38714" w14:textId="77777777" w:rsidR="00E50C09" w:rsidRPr="004D2CDC" w:rsidRDefault="00E50C09" w:rsidP="00E50C09">
      <w:pPr>
        <w:jc w:val="both"/>
        <w:rPr>
          <w:rFonts w:ascii="Arial" w:hAnsi="Arial" w:cs="Arial"/>
          <w:lang w:val="es-ES"/>
        </w:rPr>
      </w:pPr>
      <w:r w:rsidRPr="004D2CDC">
        <w:rPr>
          <w:rFonts w:ascii="Arial" w:hAnsi="Arial" w:cs="Arial"/>
          <w:lang w:val="es-ES"/>
        </w:rPr>
        <w:t xml:space="preserve">Otros estudios han publicado hallazgos contradictorios, indicando que entre mayor sea la edad; menos es el beneficio del implante en datos </w:t>
      </w:r>
      <w:proofErr w:type="spellStart"/>
      <w:r w:rsidRPr="004D2CDC">
        <w:rPr>
          <w:rFonts w:ascii="Arial" w:hAnsi="Arial" w:cs="Arial"/>
          <w:lang w:val="es-ES"/>
        </w:rPr>
        <w:t>audiométricos</w:t>
      </w:r>
      <w:proofErr w:type="spellEnd"/>
      <w:r w:rsidRPr="004D2CDC">
        <w:rPr>
          <w:rFonts w:ascii="Arial" w:hAnsi="Arial" w:cs="Arial"/>
          <w:lang w:val="es-ES"/>
        </w:rPr>
        <w:t xml:space="preserve">. </w:t>
      </w:r>
      <w:r w:rsidRPr="004D2CDC">
        <w:rPr>
          <w:rFonts w:ascii="Arial" w:hAnsi="Arial" w:cs="Arial"/>
          <w:lang w:val="es-ES"/>
        </w:rPr>
        <w:fldChar w:fldCharType="begin" w:fldLock="1"/>
      </w:r>
      <w:r w:rsidRPr="004D2CDC">
        <w:rPr>
          <w:rFonts w:ascii="Arial" w:hAnsi="Arial" w:cs="Arial"/>
          <w:lang w:val="es-ES"/>
        </w:rPr>
        <w:instrText>ADDIN CSL_CITATION { "citationItems" : [ { "id" : "ITEM-1", "itemData" : { "DOI" : "10.1002/lary.23676", "ISBN" : "0023-852X", "ISSN" : "0023852X", "PMID" : "23737286", "abstract" : "Objectives/Hypothesis: The goals of this study were to analyze whether cochlear implant (CI) users over 65 years of age have different surgical and audiological outcomes when compared to younger adult CI users and to identify reasons for these possible differences. Study Design: Retrospective single-institution study. Methods: Records of 113 postlingually deafened adults with unilateral cochlear implants were reviewed. Preoperative and postoperative speech perception scores, and medical and epidemiological data were recorded and analyzed. Results: Speech perception ability was significantly poorer in CI users over 65 years of age compared to younger adult patients (P \u00bc .012). Patients over the age of 80 years accounted for these findings (P \u00bc .017). Older patients were less likely to have a family history of hearing deficits. A history of noise exposure and idiopathic cause of hearing loss did not correlate with audiological outcomes. A family history of hearing loss was associated with a trend toward better speech recognition (P \u00bc .062). Older patients did not experience more vestibular symptoms or other complications compared to younger patients. Conclusions: Patients over the age of 80 years had lower speech perception scores than other adult CI recipients but did not have higher rates of dizziness or vertigo after surgery. A family history of hearing loss was associated with a trend to-ward better speech recognition, possibly representing a new prognostic variable. These findings provide important informa-tion that will aid clinicians in counseling older CI candidates.", "author" : [ { "dropping-particle" : "", "family" : "Roberts", "given" : "Daniel S.", "non-dropping-particle" : "", "parse-names" : false, "suffix" : "" }, { "dropping-particle" : "", "family" : "Lin", "given" : "Harrison W.", "non-dropping-particle" : "", "parse-names" : false, "suffix" : "" }, { "dropping-particle" : "", "family" : "Herrmann", "given" : "Barbara S.", "non-dropping-particle" : "", "parse-names" : false, "suffix" : "" }, { "dropping-particle" : "", "family" : "Lee", "given" : "Daniel J.", "non-dropping-particle" : "", "parse-names" : false, "suffix" : "" } ], "container-title" : "Laryngoscope", "id" : "ITEM-1", "issue" : "8", "issued" : { "date-parts" : [ [ "2013" ] ] }, "page" : "1952-1956", "title" : "Differential cochlear implant outcomes in older adults", "type" : "article-journal", "volume" : "123" }, "uris" : [ "http://www.mendeley.com/documents/?uuid=345a50dc-dc28-4f92-8c69-f9e64032063a" ] }, { "id" : "ITEM-2", "itemData" : { "DOI" : "10.1001/archoto.2010.57", "ISSN" : "1538-361X", "PMID" : "20479370", "abstract" : "To characterize speech perception performance in elderly cochlear implant users compared with younger adult users.", "author" : [ { "dropping-particle" : "", "family" : "Friedland", "given" : "David R", "non-dropping-particle" : "", "parse-names" : false, "suffix" : "" }, { "dropping-particle" : "", "family" : "Runge-Samuelson", "given" : "Christina", "non-dropping-particle" : "", "parse-names" : false, "suffix" : "" }, { "dropping-particle" : "", "family" : "Baig", "given" : "Humera", "non-dropping-particle" : "", "parse-names" : false, "suffix" : "" }, { "dropping-particle" : "", "family" : "Jensen", "given" : "Jamie", "non-dropping-particle" : "", "parse-names" : false, "suffix" : "" } ], "container-title" : "Archives of otolaryngology--head &amp; neck surgery", "id" : "ITEM-2", "issue" : "5", "issued" : { "date-parts" : [ [ "2010" ] ] }, "page" : "432-438", "title" : "Case-control analysis of cochlear implant performance in elderly patients.", "type" : "article-journal", "volume" : "136" }, "uris" : [ "http://www.mendeley.com/documents/?uuid=dbc14fef-ef2c-4b21-844e-9e5c19bc3175" ] }, { "id" : "ITEM-3", "itemData" : { "DOI" : "10.1016/j.joto.2016.03.004", "ISSN" : "16722930", "abstract" : "Global demographic changes related to longevity are leading to increasing numbers of the elderly, for whom hearing loss is a significant cause of morbidity and disability. Once met with reticence, severely hearing impaired older adults are increasingly being considered for cochlear implantation (CI). Significant data indicate that CI in the elderly population is safe, well-tolerated, and effective. Risks from CI surgery and anesthesia are low and generally comparable to rates in other age groups. Outcomes studies regarding CI in older adults have shown excellent improvements to speech perception, quality of life, and even cognition. Overall, currently available data suggests that advanced age should not, in itself, be considered a barrier to implantation. This review paper will highlight selected articles from recent medical literature regarding the safety and efficacy of CI in the elderly population.", "author" : [ { "dropping-particle" : "", "family" : "Yang", "given" : "Zao", "non-dropping-particle" : "", "parse-names" : false, "suffix" : "" }, { "dropping-particle" : "", "family" : "Cosetti", "given" : "Maura", "non-dropping-particle" : "", "parse-names" : false, "suffix" : "" } ], "container-title" : "Journal of Otology", "id" : "ITEM-3", "issue" : "1", "issued" : { "date-parts" : [ [ "2016" ] ] }, "page" : "1-6", "publisher" : "Elsevier Ltd", "title" : "Safety and outcomes of cochlear implantation in the elderly: A review of recent literature", "type" : "article-journal", "volume" : "11" }, "uris" : [ "http://www.mendeley.com/documents/?uuid=dab7163e-a788-404b-8121-d490dd978f2e" ] } ], "mendeley" : { "formattedCitation" : "&lt;sup&gt;10,20,21&lt;/sup&gt;", "plainTextFormattedCitation" : "10,20,21", "previouslyFormattedCitation" : "&lt;sup&gt;10,20,21&lt;/sup&gt;" }, "properties" : { "noteIndex" : 66 }, "schema" : "https://github.com/citation-style-language/schema/raw/master/csl-citation.json" }</w:instrText>
      </w:r>
      <w:r w:rsidRPr="004D2CDC">
        <w:rPr>
          <w:rFonts w:ascii="Arial" w:hAnsi="Arial" w:cs="Arial"/>
          <w:lang w:val="es-ES"/>
        </w:rPr>
        <w:fldChar w:fldCharType="separate"/>
      </w:r>
      <w:r w:rsidRPr="004D2CDC">
        <w:rPr>
          <w:rFonts w:ascii="Arial" w:hAnsi="Arial" w:cs="Arial"/>
          <w:noProof/>
          <w:vertAlign w:val="superscript"/>
          <w:lang w:val="es-ES"/>
        </w:rPr>
        <w:t>10,20,21</w:t>
      </w:r>
      <w:r w:rsidRPr="004D2CDC">
        <w:rPr>
          <w:rFonts w:ascii="Arial" w:hAnsi="Arial" w:cs="Arial"/>
          <w:lang w:val="es-ES"/>
        </w:rPr>
        <w:fldChar w:fldCharType="end"/>
      </w:r>
      <w:r w:rsidRPr="004D2CDC">
        <w:rPr>
          <w:rFonts w:ascii="Arial" w:hAnsi="Arial" w:cs="Arial"/>
          <w:lang w:val="es-ES"/>
        </w:rPr>
        <w:t xml:space="preserve"> En nuestro estudio, la edad no presento diferencias en los hallazgos post quirúrgicos, como en aquellos estudios presentados por </w:t>
      </w:r>
      <w:proofErr w:type="spellStart"/>
      <w:r w:rsidRPr="004D2CDC">
        <w:rPr>
          <w:rFonts w:ascii="Arial" w:hAnsi="Arial" w:cs="Arial"/>
          <w:lang w:val="es-ES"/>
        </w:rPr>
        <w:t>Budenz</w:t>
      </w:r>
      <w:proofErr w:type="spellEnd"/>
      <w:r w:rsidRPr="004D2CDC">
        <w:rPr>
          <w:rFonts w:ascii="Arial" w:hAnsi="Arial" w:cs="Arial"/>
          <w:lang w:val="es-ES"/>
        </w:rPr>
        <w:t xml:space="preserve"> et al.,</w:t>
      </w:r>
      <w:r w:rsidRPr="004D2CDC">
        <w:rPr>
          <w:rFonts w:ascii="Arial" w:hAnsi="Arial" w:cs="Arial"/>
          <w:lang w:val="es-ES"/>
        </w:rPr>
        <w:fldChar w:fldCharType="begin" w:fldLock="1"/>
      </w:r>
      <w:r w:rsidRPr="004D2CDC">
        <w:rPr>
          <w:rFonts w:ascii="Arial" w:hAnsi="Arial" w:cs="Arial"/>
          <w:lang w:val="es-ES"/>
        </w:rPr>
        <w:instrText>ADDIN CSL_CITATION { "citationItems" : [ { "id" : "ITEM-1", "itemData" : { "DOI" : "10.1111/j.1532-5415.2010.03310.x", "ISBN" : "1532-5415 (Electronic)\\r0002-8614 (Linking)", "ISSN" : "00028614", "PMID" : "21361884", "abstract" : "OBJECTIVES: To determine whether significant differences in cochlear implant (CI) performance exist between older and younger CI recipients.\\n\\nDESIGN: Retrospective comparison of audiometric data.\\n\\nSETTING: University hospital center.\\n\\nPARTICIPANTS: Sixty participants who received CIs at age 70 and older and 48 younger adults implanted between age 18 and 69.\\n\\nMEASUREMENTS: Speech outcome scores (Consonant-Nucleus-Consonant words and phonemes and City University of New York Sentence test in quiet and noise).\\n\\nRESULTS: Older participants show significant improvement in speech perception scores after implantation. Although on average they do not perform as well as younger adults, this difference correlates with duration of deafness rather than age. In contrast to younger adults, significant differences in CI performance are seen in older recipients depending on the side of implantation, with those implanted on the right performing better than those implanted on the left.\\n\\nCONCLUSION: Postlingually deafened older adults obtained significant speech perception benefits from CIs, although differences in speech outcomes were seen between younger recipients and those implanted after age 70. In older adults considering CIs, hearing benefits appear greater if they are implanted in the right ear.", "author" : [ { "dropping-particle" : "", "family" : "Budenz", "given" : "Cameron L.", "non-dropping-particle" : "", "parse-names" : false, "suffix" : "" }, { "dropping-particle" : "", "family" : "Cosetti", "given" : "Maura K.", "non-dropping-particle" : "", "parse-names" : false, "suffix" : "" }, { "dropping-particle" : "", "family" : "Coelho", "given" : "Daniel H.", "non-dropping-particle" : "", "parse-names" : false, "suffix" : "" }, { "dropping-particle" : "", "family" : "Birenbaum", "given" : "Brad", "non-dropping-particle" : "", "parse-names" : false, "suffix" : "" }, { "dropping-particle" : "", "family" : "Babb", "given" : "James", "non-dropping-particle" : "", "parse-names" : false, "suffix" : "" }, { "dropping-particle" : "", "family" : "Waltzman", "given" : "Susan B.", "non-dropping-particle" : "", "parse-names" : false, "suffix" : "" }, { "dropping-particle" : "", "family" : "Roehm", "given" : "Pamela C.", "non-dropping-particle" : "", "parse-names" : false, "suffix" : "" } ], "container-title" : "Journal of the American Geriatrics Society", "id" : "ITEM-1", "issue" : "3", "issued" : { "date-parts" : [ [ "2011" ] ] }, "page" : "446-453", "title" : "The effects of cochlear implantation on speech perception in older adults", "type" : "article-journal", "volume" : "59" }, "uris" : [ "http://www.mendeley.com/documents/?uuid=f95cc520-f91c-45ed-b796-f19da8721ffa" ] } ], "mendeley" : { "formattedCitation" : "&lt;sup&gt;22&lt;/sup&gt;", "plainTextFormattedCitation" : "22", "previouslyFormattedCitation" : "&lt;sup&gt;22&lt;/sup&gt;" }, "properties" : { "noteIndex" : 66 }, "schema" : "https://github.com/citation-style-language/schema/raw/master/csl-citation.json" }</w:instrText>
      </w:r>
      <w:r w:rsidRPr="004D2CDC">
        <w:rPr>
          <w:rFonts w:ascii="Arial" w:hAnsi="Arial" w:cs="Arial"/>
          <w:lang w:val="es-ES"/>
        </w:rPr>
        <w:fldChar w:fldCharType="separate"/>
      </w:r>
      <w:r w:rsidRPr="004D2CDC">
        <w:rPr>
          <w:rFonts w:ascii="Arial" w:hAnsi="Arial" w:cs="Arial"/>
          <w:noProof/>
          <w:vertAlign w:val="superscript"/>
          <w:lang w:val="es-ES"/>
        </w:rPr>
        <w:t>22</w:t>
      </w:r>
      <w:r w:rsidRPr="004D2CDC">
        <w:rPr>
          <w:rFonts w:ascii="Arial" w:hAnsi="Arial" w:cs="Arial"/>
          <w:lang w:val="es-ES"/>
        </w:rPr>
        <w:fldChar w:fldCharType="end"/>
      </w:r>
      <w:r w:rsidRPr="004D2CDC">
        <w:rPr>
          <w:rFonts w:ascii="Arial" w:hAnsi="Arial" w:cs="Arial"/>
          <w:lang w:val="es-ES"/>
        </w:rPr>
        <w:t xml:space="preserve"> lo anterior puede corresponder a no tener población muy mayor (&gt;85 años), la cual se ha evidenciado presenta un menor impacto en pruebas </w:t>
      </w:r>
      <w:proofErr w:type="spellStart"/>
      <w:r w:rsidRPr="004D2CDC">
        <w:rPr>
          <w:rFonts w:ascii="Arial" w:hAnsi="Arial" w:cs="Arial"/>
          <w:lang w:val="es-ES"/>
        </w:rPr>
        <w:t>audiométricas</w:t>
      </w:r>
      <w:proofErr w:type="spellEnd"/>
      <w:r w:rsidRPr="004D2CDC">
        <w:rPr>
          <w:rFonts w:ascii="Arial" w:hAnsi="Arial" w:cs="Arial"/>
          <w:lang w:val="es-ES"/>
        </w:rPr>
        <w:t xml:space="preserve">, y una mayor influencia de la edad en los resultados. </w:t>
      </w:r>
      <w:r w:rsidRPr="004D2CDC">
        <w:rPr>
          <w:rFonts w:ascii="Arial" w:hAnsi="Arial" w:cs="Arial"/>
          <w:lang w:val="es-ES"/>
        </w:rPr>
        <w:fldChar w:fldCharType="begin" w:fldLock="1"/>
      </w:r>
      <w:r w:rsidRPr="004D2CDC">
        <w:rPr>
          <w:rFonts w:ascii="Arial" w:hAnsi="Arial" w:cs="Arial"/>
          <w:lang w:val="es-ES"/>
        </w:rPr>
        <w:instrText>ADDIN CSL_CITATION { "citationItems" : [ { "id" : "ITEM-1", "itemData" : { "DOI" : "10.1016/j.joto.2016.03.004", "ISSN" : "16722930", "abstract" : "Global demographic changes related to longevity are leading to increasing numbers of the elderly, for whom hearing loss is a significant cause of morbidity and disability. Once met with reticence, severely hearing impaired older adults are increasingly being considered for cochlear implantation (CI). Significant data indicate that CI in the elderly population is safe, well-tolerated, and effective. Risks from CI surgery and anesthesia are low and generally comparable to rates in other age groups. Outcomes studies regarding CI in older adults have shown excellent improvements to speech perception, quality of life, and even cognition. Overall, currently available data suggests that advanced age should not, in itself, be considered a barrier to implantation. This review paper will highlight selected articles from recent medical literature regarding the safety and efficacy of CI in the elderly population.", "author" : [ { "dropping-particle" : "", "family" : "Yang", "given" : "Zao", "non-dropping-particle" : "", "parse-names" : false, "suffix" : "" }, { "dropping-particle" : "", "family" : "Cosetti", "given" : "Maura", "non-dropping-particle" : "", "parse-names" : false, "suffix" : "" } ], "container-title" : "Journal of Otology", "id" : "ITEM-1", "issue" : "1", "issued" : { "date-parts" : [ [ "2016" ] ] }, "page" : "1-6", "publisher" : "Elsevier Ltd", "title" : "Safety and outcomes of cochlear implantation in the elderly: A review of recent literature", "type" : "article-journal", "volume" : "11" }, "uris" : [ "http://www.mendeley.com/documents/?uuid=dab7163e-a788-404b-8121-d490dd978f2e" ] }, { "id" : "ITEM-2", "itemData" : { "DOI" : "10.1097/MD.0b013e31826b145a", "ISSN" : "1536-5964", "PMID" : "22932787", "abstract" : "Cochlear implants allow individuals with severe to profound hearing loss access to sound and spoken language. The number of older adults in the United States who are potential candidates for cochlear implantation (CI) is approximately 150,000 and will continue to increase with the aging of the population. Should CI be routinely recommended for these older adults, and do these individuals benefit from CI? We reviewed our 12-year experience with CI in adults aged \u226560 years (n = 445) at Johns Hopkins Medical Institutions to investigate the impact of CI on speech understanding and to identify factors associated with speech performance. Complete data on speech outcomes at baseline and 1 year post-CI were available for 83 individuals. Our results demonstrate that CI in adults aged \u226560 years consistently improved speech understanding scores, with a mean increase of 60.0% (SD 24.1) on HINT (Hearing in Noise Test) sentences in quiet. The magnitude of the gain in speech scores was negatively associated with age at implantation, such that for every increasing year of age at CI the gain in speech scores was 1.3 percentage points less (95% confidence interval [95% CI], 0.6-1.9) after adjusting for age at hearing loss onset. Conversely, individuals with higher pre-CI speech scores (HINT scores between 40% and 60%) had significantly greater post-CI speech scores by a mean of 10.0 percentage points (95% CI, 0.4-19.6) than those with lower pre-CI speech scores (HINT &lt;40%) after adjusting for age at CI and age at hearing loss onset. These results suggest that older adult CI candidates who are younger at implantation and with higher preoperative speech scores obtain the highest speech understanding scores after CI, with possible implications for current United States Medicare policy. Finally, we provide an extended discussion of the epidemiology and impact of hearing loss in older adults. Future research of CI in older adults should expand beyond simple speech outcomes to take into account the broad cognitive, social, and physical functioning outcomes that are likely detrimentally affected by hearing loss and may be mitigated by CI.", "author" : [ { "dropping-particle" : "", "family" : "Lin", "given" : "Frank R", "non-dropping-particle" : "", "parse-names" : false, "suffix" : "" }, { "dropping-particle" : "", "family" : "Chien", "given" : "Wade W", "non-dropping-particle" : "", "parse-names" : false, "suffix" : "" }, { "dropping-particle" : "", "family" : "Li", "given" : "Lingsheng", "non-dropping-particle" : "", "parse-names" : false, "suffix" : "" }, { "dropping-particle" : "", "family" : "Clarrett", "given" : "Danisa M", "non-dropping-particle" : "", "parse-names" : false, "suffix" : "" }, { "dropping-particle" : "", "family" : "Niparko", "given" : "John K", "non-dropping-particle" : "", "parse-names" : false, "suffix" : "" }, { "dropping-particle" : "", "family" : "Francis", "given" : "Howard W", "non-dropping-particle" : "", "parse-names" : false, "suffix" : "" } ], "container-title" : "Medicine", "id" : "ITEM-2", "issue" : "5", "issued" : { "date-parts" : [ [ "2012", "9" ] ] }, "page" : "229-41", "title" : "Cochlear implantation in older adults.", "type" : "article-journal", "volume" : "91" }, "uris" : [ "http://www.mendeley.com/documents/?uuid=965f0a2d-a7a6-492d-a9ea-167414d85b19" ] } ], "mendeley" : { "formattedCitation" : "&lt;sup&gt;10,23&lt;/sup&gt;", "plainTextFormattedCitation" : "10,23", "previouslyFormattedCitation" : "&lt;sup&gt;10,23&lt;/sup&gt;" }, "properties" : { "noteIndex" : 66 }, "schema" : "https://github.com/citation-style-language/schema/raw/master/csl-citation.json" }</w:instrText>
      </w:r>
      <w:r w:rsidRPr="004D2CDC">
        <w:rPr>
          <w:rFonts w:ascii="Arial" w:hAnsi="Arial" w:cs="Arial"/>
          <w:lang w:val="es-ES"/>
        </w:rPr>
        <w:fldChar w:fldCharType="separate"/>
      </w:r>
      <w:r w:rsidRPr="004D2CDC">
        <w:rPr>
          <w:rFonts w:ascii="Arial" w:hAnsi="Arial" w:cs="Arial"/>
          <w:noProof/>
          <w:vertAlign w:val="superscript"/>
          <w:lang w:val="es-ES"/>
        </w:rPr>
        <w:t>10,23</w:t>
      </w:r>
      <w:r w:rsidRPr="004D2CDC">
        <w:rPr>
          <w:rFonts w:ascii="Arial" w:hAnsi="Arial" w:cs="Arial"/>
          <w:lang w:val="es-ES"/>
        </w:rPr>
        <w:fldChar w:fldCharType="end"/>
      </w:r>
      <w:r w:rsidRPr="004D2CDC">
        <w:rPr>
          <w:rFonts w:ascii="Arial" w:hAnsi="Arial" w:cs="Arial"/>
          <w:lang w:val="es-ES"/>
        </w:rPr>
        <w:t xml:space="preserve"> El presente estudio se queda corto en determinar tiempo de evolución de la patología, dato que podría influir en el desenlace; mayores tiempos de evolución, se asocian con pérdida de habilidades lingüísticas y podrían explicar las diferencias en compresión de lenguaje relacionadas con la edad. </w:t>
      </w:r>
    </w:p>
    <w:p w14:paraId="11820719" w14:textId="77777777" w:rsidR="00E50C09" w:rsidRPr="004D2CDC" w:rsidRDefault="00E50C09" w:rsidP="00E50C09">
      <w:pPr>
        <w:jc w:val="both"/>
        <w:rPr>
          <w:rFonts w:ascii="Arial" w:hAnsi="Arial" w:cs="Arial"/>
          <w:lang w:val="es-ES"/>
        </w:rPr>
      </w:pPr>
    </w:p>
    <w:p w14:paraId="0A7C689D" w14:textId="72CE72F2" w:rsidR="00383CA8" w:rsidRPr="004D2CDC" w:rsidRDefault="00383CA8" w:rsidP="00383CA8">
      <w:pPr>
        <w:jc w:val="both"/>
        <w:rPr>
          <w:rFonts w:ascii="Arial" w:hAnsi="Arial" w:cs="Arial"/>
        </w:rPr>
      </w:pPr>
      <w:r w:rsidRPr="004D2CDC">
        <w:rPr>
          <w:rFonts w:ascii="Arial" w:hAnsi="Arial" w:cs="Arial"/>
        </w:rPr>
        <w:t xml:space="preserve">En estudios realizados evaluando la calidad de vida en pacientes implantados mayores de 65 años se ha reportado una mejoría superior a la alcanzada en pacientes implantados </w:t>
      </w:r>
      <w:proofErr w:type="spellStart"/>
      <w:proofErr w:type="gramStart"/>
      <w:r w:rsidRPr="004D2CDC">
        <w:rPr>
          <w:rFonts w:ascii="Arial" w:hAnsi="Arial" w:cs="Arial"/>
        </w:rPr>
        <w:t>mas</w:t>
      </w:r>
      <w:proofErr w:type="spellEnd"/>
      <w:proofErr w:type="gramEnd"/>
      <w:r w:rsidRPr="004D2CDC">
        <w:rPr>
          <w:rFonts w:ascii="Arial" w:hAnsi="Arial" w:cs="Arial"/>
        </w:rPr>
        <w:t xml:space="preserve"> jóvenes,  a pesar de ser significativa en ambos grupos</w:t>
      </w:r>
      <w:r w:rsidRPr="004D2CDC">
        <w:rPr>
          <w:rStyle w:val="Refdenotaalfinal"/>
          <w:rFonts w:ascii="Arial" w:hAnsi="Arial" w:cs="Arial"/>
        </w:rPr>
        <w:t>29</w:t>
      </w:r>
      <w:r w:rsidRPr="004D2CDC">
        <w:rPr>
          <w:rFonts w:ascii="Arial" w:hAnsi="Arial" w:cs="Arial"/>
        </w:rPr>
        <w:t xml:space="preserve"> </w:t>
      </w:r>
      <w:r w:rsidRPr="004D2CDC">
        <w:rPr>
          <w:rStyle w:val="Refdenotaalfinal"/>
          <w:rFonts w:ascii="Arial" w:hAnsi="Arial" w:cs="Arial"/>
        </w:rPr>
        <w:t>30</w:t>
      </w:r>
      <w:r w:rsidRPr="004D2CDC">
        <w:rPr>
          <w:rFonts w:ascii="Arial" w:hAnsi="Arial" w:cs="Arial"/>
        </w:rPr>
        <w:t xml:space="preserve">. Algunos autores describen en pacientes mayores de 80 años una mejoría en la discriminación del habla, con reducción del </w:t>
      </w:r>
      <w:r w:rsidR="00813852" w:rsidRPr="004D2CDC">
        <w:rPr>
          <w:rFonts w:ascii="Arial" w:hAnsi="Arial" w:cs="Arial"/>
        </w:rPr>
        <w:t>deterioro</w:t>
      </w:r>
      <w:r w:rsidRPr="004D2CDC">
        <w:rPr>
          <w:rFonts w:ascii="Arial" w:hAnsi="Arial" w:cs="Arial"/>
        </w:rPr>
        <w:t xml:space="preserve"> </w:t>
      </w:r>
      <w:r w:rsidR="00813852" w:rsidRPr="004D2CDC">
        <w:rPr>
          <w:rFonts w:ascii="Arial" w:hAnsi="Arial" w:cs="Arial"/>
        </w:rPr>
        <w:t>cognitivo</w:t>
      </w:r>
      <w:r w:rsidRPr="004D2CDC">
        <w:rPr>
          <w:rFonts w:ascii="Arial" w:hAnsi="Arial" w:cs="Arial"/>
        </w:rPr>
        <w:t>, el aislamiento social, menor prevalencia de demencia, y mejoría en la capacidad física</w:t>
      </w:r>
      <w:r w:rsidRPr="004D2CDC">
        <w:rPr>
          <w:rStyle w:val="Refdenotaalfinal"/>
          <w:rFonts w:ascii="Arial" w:hAnsi="Arial" w:cs="Arial"/>
        </w:rPr>
        <w:t>31</w:t>
      </w:r>
      <w:r w:rsidRPr="004D2CDC">
        <w:rPr>
          <w:rFonts w:ascii="Arial" w:hAnsi="Arial" w:cs="Arial"/>
        </w:rPr>
        <w:t>. Por esta razón, se ha sugerido que la edad de los pacientes no es una contraindicación para el IC</w:t>
      </w:r>
      <w:r w:rsidRPr="004D2CDC">
        <w:rPr>
          <w:rFonts w:ascii="Arial" w:hAnsi="Arial" w:cs="Arial"/>
          <w:vertAlign w:val="superscript"/>
        </w:rPr>
        <w:t>32</w:t>
      </w:r>
      <w:r w:rsidRPr="004D2CDC">
        <w:rPr>
          <w:rFonts w:ascii="Arial" w:hAnsi="Arial" w:cs="Arial"/>
        </w:rPr>
        <w:t>.</w:t>
      </w:r>
    </w:p>
    <w:p w14:paraId="6E0E6BFC" w14:textId="77777777" w:rsidR="004D2CDC" w:rsidRPr="004D2CDC" w:rsidRDefault="004D2CDC" w:rsidP="00383CA8">
      <w:pPr>
        <w:jc w:val="both"/>
        <w:rPr>
          <w:rFonts w:ascii="Arial" w:hAnsi="Arial" w:cs="Arial"/>
        </w:rPr>
      </w:pPr>
    </w:p>
    <w:p w14:paraId="67C3BE2B" w14:textId="356B2EFA" w:rsidR="004D2CDC" w:rsidRPr="004D2CDC" w:rsidRDefault="004D2CDC" w:rsidP="004D2CDC">
      <w:pPr>
        <w:jc w:val="both"/>
        <w:rPr>
          <w:rFonts w:ascii="Arial" w:hAnsi="Arial" w:cs="Arial"/>
        </w:rPr>
      </w:pPr>
      <w:r w:rsidRPr="004D2CDC">
        <w:rPr>
          <w:rFonts w:ascii="Arial" w:hAnsi="Arial" w:cs="Arial"/>
        </w:rPr>
        <w:t xml:space="preserve">Un estudio retrospectivo en la Universidad de Nueva York con pacientes mayores de 79 años, </w:t>
      </w:r>
      <w:r w:rsidR="00813852" w:rsidRPr="004D2CDC">
        <w:rPr>
          <w:rFonts w:ascii="Arial" w:hAnsi="Arial" w:cs="Arial"/>
        </w:rPr>
        <w:t>demostró</w:t>
      </w:r>
      <w:r w:rsidRPr="004D2CDC">
        <w:rPr>
          <w:rFonts w:ascii="Arial" w:hAnsi="Arial" w:cs="Arial"/>
        </w:rPr>
        <w:t xml:space="preserve"> una mejoría significativa en el PTA post operatorio y la discriminación en ruido</w:t>
      </w:r>
      <w:r w:rsidRPr="004D2CDC">
        <w:rPr>
          <w:rStyle w:val="Refdenotaalfinal"/>
          <w:rFonts w:ascii="Arial" w:hAnsi="Arial" w:cs="Arial"/>
        </w:rPr>
        <w:t>33</w:t>
      </w:r>
      <w:r w:rsidRPr="004D2CDC">
        <w:rPr>
          <w:rFonts w:ascii="Arial" w:hAnsi="Arial" w:cs="Arial"/>
        </w:rPr>
        <w:t xml:space="preserve"> </w:t>
      </w:r>
      <w:r w:rsidRPr="004D2CDC">
        <w:rPr>
          <w:rFonts w:ascii="Arial" w:hAnsi="Arial" w:cs="Arial"/>
          <w:vertAlign w:val="superscript"/>
        </w:rPr>
        <w:t>34</w:t>
      </w:r>
      <w:r w:rsidRPr="004D2CDC">
        <w:rPr>
          <w:rFonts w:ascii="Arial" w:hAnsi="Arial" w:cs="Arial"/>
        </w:rPr>
        <w:t xml:space="preserve">. Otros autores </w:t>
      </w:r>
      <w:r w:rsidR="00813852" w:rsidRPr="004D2CDC">
        <w:rPr>
          <w:rFonts w:ascii="Arial" w:hAnsi="Arial" w:cs="Arial"/>
        </w:rPr>
        <w:t>también</w:t>
      </w:r>
      <w:r w:rsidRPr="004D2CDC">
        <w:rPr>
          <w:rFonts w:ascii="Arial" w:hAnsi="Arial" w:cs="Arial"/>
        </w:rPr>
        <w:t xml:space="preserve"> han confirmado resultados similares </w:t>
      </w:r>
      <w:r w:rsidRPr="004D2CDC">
        <w:rPr>
          <w:rFonts w:ascii="Arial" w:hAnsi="Arial" w:cs="Arial"/>
          <w:vertAlign w:val="superscript"/>
        </w:rPr>
        <w:t>35</w:t>
      </w:r>
      <w:r w:rsidRPr="004D2CDC">
        <w:rPr>
          <w:rFonts w:ascii="Arial" w:hAnsi="Arial" w:cs="Arial"/>
        </w:rPr>
        <w:t xml:space="preserve">. Algunos estudios han sugerido una escaza mejoría en la discriminación en pacientes mayores de 70 años, en los primeros </w:t>
      </w:r>
      <w:r w:rsidRPr="004D2CDC">
        <w:rPr>
          <w:rFonts w:ascii="Arial" w:hAnsi="Arial" w:cs="Arial"/>
        </w:rPr>
        <w:lastRenderedPageBreak/>
        <w:t xml:space="preserve">6 meses post implante coclear, pero en nuestra experiencia consideramos que este resultado es consecuencia de un tiempo de </w:t>
      </w:r>
      <w:r w:rsidR="00813852" w:rsidRPr="004D2CDC">
        <w:rPr>
          <w:rFonts w:ascii="Arial" w:hAnsi="Arial" w:cs="Arial"/>
        </w:rPr>
        <w:t>rehabilitación</w:t>
      </w:r>
      <w:r w:rsidRPr="004D2CDC">
        <w:rPr>
          <w:rFonts w:ascii="Arial" w:hAnsi="Arial" w:cs="Arial"/>
        </w:rPr>
        <w:t xml:space="preserve"> muy corto</w:t>
      </w:r>
      <w:r w:rsidRPr="004D2CDC">
        <w:rPr>
          <w:rStyle w:val="Refdenotaalfinal"/>
          <w:rFonts w:ascii="Arial" w:hAnsi="Arial" w:cs="Arial"/>
        </w:rPr>
        <w:t>36</w:t>
      </w:r>
      <w:r w:rsidRPr="004D2CDC">
        <w:rPr>
          <w:rFonts w:ascii="Arial" w:hAnsi="Arial" w:cs="Arial"/>
        </w:rPr>
        <w:t xml:space="preserve">. Según Chan y col. </w:t>
      </w:r>
      <w:r w:rsidRPr="004D2CDC">
        <w:rPr>
          <w:rStyle w:val="Refdenotaalfinal"/>
          <w:rFonts w:ascii="Arial" w:hAnsi="Arial" w:cs="Arial"/>
        </w:rPr>
        <w:t>37</w:t>
      </w:r>
      <w:r w:rsidRPr="004D2CDC">
        <w:rPr>
          <w:rFonts w:ascii="Arial" w:hAnsi="Arial" w:cs="Arial"/>
        </w:rPr>
        <w:t xml:space="preserve"> los déficit auditivos mejoran significativamente luego de los 12 meses post operatorios sugiriendo como probable causa  de este ligero retraso, el deterioro en el sistema nervioso central a nivel del área temporal asociado con la edad. Aunque un análisis multivariado de regresión en una población de pacientes mayores de 65 años no revelo ninguna diferencia entre los resultados </w:t>
      </w:r>
      <w:r w:rsidR="00813852" w:rsidRPr="004D2CDC">
        <w:rPr>
          <w:rFonts w:ascii="Arial" w:hAnsi="Arial" w:cs="Arial"/>
        </w:rPr>
        <w:t>audiológicos</w:t>
      </w:r>
      <w:r w:rsidRPr="004D2CDC">
        <w:rPr>
          <w:rFonts w:ascii="Arial" w:hAnsi="Arial" w:cs="Arial"/>
        </w:rPr>
        <w:t xml:space="preserve"> y el tiempo de rehabilitación en </w:t>
      </w:r>
      <w:r w:rsidR="00813852" w:rsidRPr="004D2CDC">
        <w:rPr>
          <w:rFonts w:ascii="Arial" w:hAnsi="Arial" w:cs="Arial"/>
        </w:rPr>
        <w:t>relación</w:t>
      </w:r>
      <w:r w:rsidRPr="004D2CDC">
        <w:rPr>
          <w:rFonts w:ascii="Arial" w:hAnsi="Arial" w:cs="Arial"/>
        </w:rPr>
        <w:t xml:space="preserve"> con la edad </w:t>
      </w:r>
      <w:r w:rsidRPr="004D2CDC">
        <w:rPr>
          <w:rFonts w:ascii="Arial" w:hAnsi="Arial" w:cs="Arial"/>
          <w:vertAlign w:val="superscript"/>
        </w:rPr>
        <w:t>38</w:t>
      </w:r>
      <w:r w:rsidRPr="004D2CDC">
        <w:rPr>
          <w:rFonts w:ascii="Arial" w:hAnsi="Arial" w:cs="Arial"/>
        </w:rPr>
        <w:t xml:space="preserve">.  </w:t>
      </w:r>
    </w:p>
    <w:p w14:paraId="3A519B68" w14:textId="77777777" w:rsidR="004D2CDC" w:rsidRPr="00383CA8" w:rsidRDefault="004D2CDC" w:rsidP="00383CA8">
      <w:pPr>
        <w:jc w:val="both"/>
        <w:rPr>
          <w:rFonts w:ascii="Arial" w:hAnsi="Arial" w:cs="Arial"/>
        </w:rPr>
      </w:pPr>
    </w:p>
    <w:p w14:paraId="4457153C" w14:textId="77777777" w:rsidR="00E50C09" w:rsidRPr="00E50C09" w:rsidRDefault="00E50C09" w:rsidP="00E50C09">
      <w:pPr>
        <w:jc w:val="both"/>
        <w:rPr>
          <w:rFonts w:ascii="Arial" w:hAnsi="Arial" w:cs="Arial"/>
          <w:lang w:val="es-ES"/>
        </w:rPr>
      </w:pPr>
      <w:r w:rsidRPr="00383CA8">
        <w:rPr>
          <w:rFonts w:ascii="Arial" w:hAnsi="Arial" w:cs="Arial"/>
          <w:lang w:val="es-ES"/>
        </w:rPr>
        <w:t>Adicionalmente, estudios a largo plazo (seguimiento &gt;2 años)  demuestran que los pacientes con edad avanzada no presentan la misma evolución que los jóvenes;</w:t>
      </w:r>
      <w:r w:rsidRPr="00383CA8">
        <w:rPr>
          <w:rFonts w:ascii="Arial" w:hAnsi="Arial" w:cs="Arial"/>
          <w:lang w:val="es-ES"/>
        </w:rPr>
        <w:fldChar w:fldCharType="begin" w:fldLock="1"/>
      </w:r>
      <w:r w:rsidRPr="00383CA8">
        <w:rPr>
          <w:rFonts w:ascii="Arial" w:hAnsi="Arial" w:cs="Arial"/>
          <w:lang w:val="es-ES"/>
        </w:rPr>
        <w:instrText>ADDIN CSL_CITATION { "citationItems" : [ { "id" : "ITEM-1", "itemData" : { "DOI" : "10.1016/j.joto.2016.03.004", "ISSN" : "16722930", "abstract" : "Global demographic changes related to longevity are leading to increasing numbers of the elderly, for whom hearing loss is a significant cause of morbidity and disability. Once met with reticence, severely hearing impaired older adults are increasingly being considered for cochlear implantation (CI). Significant data indicate that CI in the elderly population is safe, well-tolerated, and effective. Risks from CI surgery and anesthesia are low and generally comparable to rates in other age groups. Outcomes studies regarding CI in older adults have shown excellent improvements to speech perception, quality of life, and even cognition. Overall, currently available data suggests that advanced age should not, in itself, be considered a barrier to implantation. This review paper will highlight selected articles from recent medical literature regarding the safety and efficacy of CI in the elderly population.", "author" : [ { "dropping-particle" : "", "family" : "Yang", "given" : "Zao", "non-dropping-particle" : "", "parse-names" : false, "suffix" : "" }, { "dropping-particle" : "", "family" : "Cosetti", "given" : "Maura", "non-dropping-particle" : "", "parse-names" : false, "suffix" : "" } ], "container-title" : "Journal of Otology", "id" : "ITEM-1", "issue" : "1", "issued" : { "date-parts" : [ [ "2016" ] ] }, "page" : "1-6", "publisher" : "Elsevier Ltd", "title" : "Safety and outcomes of cochlear implantation in the elderly: A review of recent literature", "type" : "article-journal", "volume" : "11" }, "uris" : [ "http://www.mendeley.com/documents/?uuid=dab7163e-a788-404b-8121-d490dd978f2e" ] } ], "mendeley" : { "formattedCitation" : "&lt;sup&gt;10&lt;/sup&gt;", "plainTextFormattedCitation" : "10", "previouslyFormattedCitation" : "&lt;sup&gt;10&lt;/sup&gt;" }, "properties" : { "noteIndex" : 66 }, "schema" : "https://github.com/citation-style-language/schema/raw/master/csl-citation.json" }</w:instrText>
      </w:r>
      <w:r w:rsidRPr="00383CA8">
        <w:rPr>
          <w:rFonts w:ascii="Arial" w:hAnsi="Arial" w:cs="Arial"/>
          <w:lang w:val="es-ES"/>
        </w:rPr>
        <w:fldChar w:fldCharType="separate"/>
      </w:r>
      <w:r w:rsidRPr="00383CA8">
        <w:rPr>
          <w:rFonts w:ascii="Arial" w:hAnsi="Arial" w:cs="Arial"/>
          <w:noProof/>
          <w:vertAlign w:val="superscript"/>
          <w:lang w:val="es-ES"/>
        </w:rPr>
        <w:t>10</w:t>
      </w:r>
      <w:r w:rsidRPr="00383CA8">
        <w:rPr>
          <w:rFonts w:ascii="Arial" w:hAnsi="Arial" w:cs="Arial"/>
          <w:lang w:val="es-ES"/>
        </w:rPr>
        <w:fldChar w:fldCharType="end"/>
      </w:r>
      <w:r w:rsidRPr="00383CA8">
        <w:rPr>
          <w:rFonts w:ascii="Arial" w:hAnsi="Arial" w:cs="Arial"/>
          <w:lang w:val="es-ES"/>
        </w:rPr>
        <w:t xml:space="preserve"> en nuestro estudio no se encontraron diferencias entre el seguimiento de 6 meses y 12 meses</w:t>
      </w:r>
      <w:r w:rsidRPr="00E50C09">
        <w:rPr>
          <w:rFonts w:ascii="Arial" w:hAnsi="Arial" w:cs="Arial"/>
          <w:lang w:val="es-ES"/>
        </w:rPr>
        <w:t xml:space="preserve"> en el promedio de tonos puros del habla  y los valores del porcentaje de discriminación del lenguaje que pudieran sugerir estos hallazgos en nuestra población y que han sido previamente reportados en la literatura.</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"10.1097/MD.0b013e31826b145a", "ISSN" : "1536-5964", "PMID" : "22932787", "abstract" : "Cochlear implants allow individuals with severe to profound hearing loss access to sound and spoken language. The number of older adults in the United States who are potential candidates for cochlear implantation (CI) is approximately 150,000 and will continue to increase with the aging of the population. Should CI be routinely recommended for these older adults, and do these individuals benefit from CI? We reviewed our 12-year experience with CI in adults aged \u226560 years (n = 445) at Johns Hopkins Medical Institutions to investigate the impact of CI on speech understanding and to identify factors associated with speech performance. Complete data on speech outcomes at baseline and 1 year post-CI were available for 83 individuals. Our results demonstrate that CI in adults aged \u226560 years consistently improved speech understanding scores, with a mean increase of 60.0% (SD 24.1) on HINT (Hearing in Noise Test) sentences in quiet. The magnitude of the gain in speech scores was negatively associated with age at implantation, such that for every increasing year of age at CI the gain in speech scores was 1.3 percentage points less (95% confidence interval [95% CI], 0.6-1.9) after adjusting for age at hearing loss onset. Conversely, individuals with higher pre-CI speech scores (HINT scores between 40% and 60%) had significantly greater post-CI speech scores by a mean of 10.0 percentage points (95% CI, 0.4-19.6) than those with lower pre-CI speech scores (HINT &lt;40%) after adjusting for age at CI and age at hearing loss onset. These results suggest that older adult CI candidates who are younger at implantation and with higher preoperative speech scores obtain the highest speech understanding scores after CI, with possible implications for current United States Medicare policy. Finally, we provide an extended discussion of the epidemiology and impact of hearing loss in older adults. Future research of CI in older adults should expand beyond simple speech outcomes to take into account the broad cognitive, social, and physical functioning outcomes that are likely detrimentally affected by hearing loss and may be mitigated by CI.", "author" : [ { "dropping-particle" : "", "family" : "Lin", "given" : "Frank R", "non-dropping-particle" : "", "parse-names" : false, "suffix" : "" }, { "dropping-particle" : "", "family" : "Chien", "given" : "Wade W", "non-dropping-particle" : "", "parse-names" : false, "suffix" : "" }, { "dropping-particle" : "", "family" : "Li", "given" : "Lingsheng", "non-dropping-particle" : "", "parse-names" : false, "suffix" : "" }, { "dropping-particle" : "", "family" : "Clarrett", "given" : "Danisa M", "non-dropping-particle" : "", "parse-names" : false, "suffix" : "" }, { "dropping-particle" : "", "family" : "Niparko", "given" : "John K", "non-dropping-particle" : "", "parse-names" : false, "suffix" : "" }, { "dropping-particle" : "", "family" : "Francis", "given" : "Howard W", "non-dropping-particle" : "", "parse-names" : false, "suffix" : "" } ], "container-title" : "Medicine", "id" : "ITEM-1", "issue" : "5", "issued" : { "date-parts" : [ [ "2012", "9" ] ] }, "page" : "229-41", "title" : "Cochlear implantation in older adults.", "type" : "article-journal", "volume" : "91" }, "uris" : [ "http://www.mendeley.com/documents/?uuid=965f0a2d-a7a6-492d-a9ea-167414d85b19" ] } ], "mendeley" : { "formattedCitation" : "&lt;sup&gt;23&lt;/sup&gt;", "plainTextFormattedCitation" : "23", "previouslyFormattedCitation" : "&lt;sup&gt;23&lt;/sup&gt;" }, "properties" : { "noteIndex" : 17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23</w:t>
      </w:r>
      <w:r w:rsidRPr="00E50C09">
        <w:rPr>
          <w:rFonts w:ascii="Arial" w:hAnsi="Arial" w:cs="Arial"/>
          <w:lang w:val="es-ES"/>
        </w:rPr>
        <w:fldChar w:fldCharType="end"/>
      </w:r>
      <w:r w:rsidRPr="00E50C09">
        <w:rPr>
          <w:rFonts w:ascii="Arial" w:hAnsi="Arial" w:cs="Arial"/>
          <w:lang w:val="es-ES"/>
        </w:rPr>
        <w:t xml:space="preserve"> </w:t>
      </w:r>
    </w:p>
    <w:p w14:paraId="5BD67FC1" w14:textId="77777777" w:rsidR="00E50C09" w:rsidRPr="00E50C09" w:rsidRDefault="00E50C09" w:rsidP="00E50C09">
      <w:pPr>
        <w:jc w:val="both"/>
        <w:rPr>
          <w:rFonts w:ascii="Arial" w:hAnsi="Arial" w:cs="Arial"/>
          <w:lang w:val="es-ES"/>
        </w:rPr>
      </w:pPr>
      <w:r w:rsidRPr="00E50C09">
        <w:rPr>
          <w:rFonts w:ascii="Arial" w:hAnsi="Arial" w:cs="Arial"/>
          <w:lang w:val="es-ES"/>
        </w:rPr>
        <w:t xml:space="preserve"> </w:t>
      </w:r>
    </w:p>
    <w:p w14:paraId="4EEFEA9A" w14:textId="77777777" w:rsidR="00E50C09" w:rsidRDefault="00E50C09" w:rsidP="00E50C09">
      <w:pPr>
        <w:jc w:val="both"/>
        <w:rPr>
          <w:rFonts w:ascii="Arial" w:hAnsi="Arial" w:cs="Arial"/>
          <w:lang w:val="es-ES"/>
        </w:rPr>
      </w:pPr>
      <w:r w:rsidRPr="00E50C09">
        <w:rPr>
          <w:rFonts w:ascii="Arial" w:hAnsi="Arial" w:cs="Arial"/>
          <w:lang w:val="es-ES"/>
        </w:rPr>
        <w:t xml:space="preserve">No se encontraron diferencias estadísticamente significativas en los valores del </w:t>
      </w:r>
      <w:proofErr w:type="spellStart"/>
      <w:r w:rsidRPr="00E50C09">
        <w:rPr>
          <w:rFonts w:ascii="Arial" w:hAnsi="Arial" w:cs="Arial"/>
          <w:lang w:val="es-ES"/>
        </w:rPr>
        <w:t>Db</w:t>
      </w:r>
      <w:proofErr w:type="spellEnd"/>
      <w:r w:rsidRPr="00E50C09">
        <w:rPr>
          <w:rFonts w:ascii="Arial" w:hAnsi="Arial" w:cs="Arial"/>
          <w:lang w:val="es-ES"/>
        </w:rPr>
        <w:t xml:space="preserve"> de los valores del de discriminación del lenguaje en nuestra muestra (p&gt;0.05), lo anterior pude ser secundario a problemas de concentración en los adultos mayores o fatiga frente a las pruebas. </w:t>
      </w:r>
    </w:p>
    <w:p w14:paraId="55F3216B" w14:textId="77777777" w:rsidR="00813852" w:rsidRPr="00813852" w:rsidRDefault="00813852" w:rsidP="00E50C09">
      <w:pPr>
        <w:jc w:val="both"/>
        <w:rPr>
          <w:rFonts w:ascii="Arial" w:hAnsi="Arial" w:cs="Arial"/>
          <w:lang w:val="es-ES"/>
        </w:rPr>
      </w:pPr>
    </w:p>
    <w:p w14:paraId="0E4D995A" w14:textId="7C1677B3" w:rsidR="00813852" w:rsidRPr="00813852" w:rsidRDefault="00813852" w:rsidP="00813852">
      <w:pPr>
        <w:jc w:val="both"/>
        <w:rPr>
          <w:rFonts w:ascii="Arial" w:hAnsi="Arial" w:cs="Arial"/>
        </w:rPr>
      </w:pPr>
      <w:r w:rsidRPr="00813852">
        <w:rPr>
          <w:rFonts w:ascii="Arial" w:hAnsi="Arial" w:cs="Arial"/>
        </w:rPr>
        <w:t>Rohloff</w:t>
      </w:r>
      <w:r w:rsidRPr="00813852">
        <w:rPr>
          <w:rFonts w:ascii="Arial" w:hAnsi="Arial" w:cs="Arial"/>
          <w:vertAlign w:val="superscript"/>
        </w:rPr>
        <w:t>39</w:t>
      </w:r>
      <w:r w:rsidRPr="00813852">
        <w:rPr>
          <w:rFonts w:ascii="Arial" w:hAnsi="Arial" w:cs="Arial"/>
        </w:rPr>
        <w:t xml:space="preserve"> y col. comparo las diferencias en la rehabilitación auditiva luego de un IC entre pacientes jóvenes y adultos mayores, encontrando que los resultados fueron estables y constantes luego de 12 meses de implantación, con seguimiento a 2 y 3 años, y un numero de terapias similar en los dos grupos. Concluyendo que el IC es altamente eficaz con un desempeño postoperatorio similar independiente de la edad, y con recuperación de las habilidades auditivas complejas (discriminación en ruido) similares en el tiempo. Otros autores han evaluado el rendimiento de pacientes mayores a</w:t>
      </w:r>
      <w:r>
        <w:rPr>
          <w:rFonts w:ascii="Arial" w:hAnsi="Arial" w:cs="Arial"/>
        </w:rPr>
        <w:t xml:space="preserve"> </w:t>
      </w:r>
      <w:r w:rsidRPr="00813852">
        <w:rPr>
          <w:rFonts w:ascii="Arial" w:hAnsi="Arial" w:cs="Arial"/>
        </w:rPr>
        <w:t>través del tiempo (</w:t>
      </w:r>
      <w:proofErr w:type="spellStart"/>
      <w:r w:rsidRPr="00813852">
        <w:rPr>
          <w:rFonts w:ascii="Arial" w:hAnsi="Arial" w:cs="Arial"/>
        </w:rPr>
        <w:t>Vermeire</w:t>
      </w:r>
      <w:proofErr w:type="spellEnd"/>
      <w:r w:rsidRPr="00813852">
        <w:rPr>
          <w:rFonts w:ascii="Arial" w:hAnsi="Arial" w:cs="Arial"/>
        </w:rPr>
        <w:t xml:space="preserve">, 2005; </w:t>
      </w:r>
      <w:proofErr w:type="spellStart"/>
      <w:r w:rsidRPr="00813852">
        <w:rPr>
          <w:rFonts w:ascii="Arial" w:hAnsi="Arial" w:cs="Arial"/>
        </w:rPr>
        <w:t>Budenz</w:t>
      </w:r>
      <w:proofErr w:type="spellEnd"/>
      <w:r w:rsidRPr="00813852">
        <w:rPr>
          <w:rFonts w:ascii="Arial" w:hAnsi="Arial" w:cs="Arial"/>
        </w:rPr>
        <w:t xml:space="preserve">, 2011; </w:t>
      </w:r>
      <w:proofErr w:type="spellStart"/>
      <w:r w:rsidRPr="00813852">
        <w:rPr>
          <w:rFonts w:ascii="Arial" w:hAnsi="Arial" w:cs="Arial"/>
        </w:rPr>
        <w:t>Lenarz</w:t>
      </w:r>
      <w:proofErr w:type="spellEnd"/>
      <w:r w:rsidRPr="00813852">
        <w:rPr>
          <w:rFonts w:ascii="Arial" w:hAnsi="Arial" w:cs="Arial"/>
        </w:rPr>
        <w:t xml:space="preserve">, 2012; </w:t>
      </w:r>
      <w:proofErr w:type="spellStart"/>
      <w:r w:rsidRPr="00813852">
        <w:rPr>
          <w:rFonts w:ascii="Arial" w:hAnsi="Arial" w:cs="Arial"/>
        </w:rPr>
        <w:t>Spitzer</w:t>
      </w:r>
      <w:proofErr w:type="spellEnd"/>
      <w:r w:rsidRPr="00813852">
        <w:rPr>
          <w:rFonts w:ascii="Arial" w:hAnsi="Arial" w:cs="Arial"/>
        </w:rPr>
        <w:t xml:space="preserve">, 2013). </w:t>
      </w:r>
      <w:proofErr w:type="gramStart"/>
      <w:r w:rsidRPr="00813852">
        <w:rPr>
          <w:rFonts w:ascii="Arial" w:hAnsi="Arial" w:cs="Arial"/>
        </w:rPr>
        <w:t>sin</w:t>
      </w:r>
      <w:proofErr w:type="gramEnd"/>
      <w:r w:rsidRPr="00813852">
        <w:rPr>
          <w:rFonts w:ascii="Arial" w:hAnsi="Arial" w:cs="Arial"/>
        </w:rPr>
        <w:t xml:space="preserve"> encontrar disminución en el desempeño, con curvas de mejoría estables, máximo rendimiento luego de 6 meses post operatorios  y sin diferencias entre la discriminación del habla a los 6 meses y los 13 años de seguimiento. </w:t>
      </w:r>
      <w:proofErr w:type="spellStart"/>
      <w:r w:rsidRPr="00813852">
        <w:rPr>
          <w:rFonts w:ascii="Arial" w:hAnsi="Arial" w:cs="Arial"/>
        </w:rPr>
        <w:t>Lenarz</w:t>
      </w:r>
      <w:proofErr w:type="spellEnd"/>
      <w:r w:rsidRPr="00813852">
        <w:rPr>
          <w:rFonts w:ascii="Arial" w:hAnsi="Arial" w:cs="Arial"/>
        </w:rPr>
        <w:t xml:space="preserve"> y col </w:t>
      </w:r>
      <w:r w:rsidRPr="00813852">
        <w:rPr>
          <w:rStyle w:val="Refdenotaalfinal"/>
          <w:rFonts w:ascii="Arial" w:hAnsi="Arial" w:cs="Arial"/>
        </w:rPr>
        <w:t>40</w:t>
      </w:r>
      <w:r w:rsidRPr="00813852">
        <w:rPr>
          <w:rFonts w:ascii="Arial" w:hAnsi="Arial" w:cs="Arial"/>
        </w:rPr>
        <w:t xml:space="preserve">, reporto una diferencia significativa en una cohorte de pacientes de 70 años o más en su rendimiento en ruido, atribuyendo esta diferencia a cambios a nivel central. </w:t>
      </w:r>
      <w:proofErr w:type="spellStart"/>
      <w:r w:rsidRPr="00813852">
        <w:rPr>
          <w:rFonts w:ascii="Arial" w:hAnsi="Arial" w:cs="Arial"/>
        </w:rPr>
        <w:t>Friedland</w:t>
      </w:r>
      <w:proofErr w:type="spellEnd"/>
      <w:r w:rsidRPr="00813852">
        <w:rPr>
          <w:rFonts w:ascii="Arial" w:hAnsi="Arial" w:cs="Arial"/>
        </w:rPr>
        <w:t xml:space="preserve"> y col.</w:t>
      </w:r>
      <w:r w:rsidRPr="00813852">
        <w:rPr>
          <w:rStyle w:val="Refdenotaalfinal"/>
          <w:rFonts w:ascii="Arial" w:hAnsi="Arial" w:cs="Arial"/>
        </w:rPr>
        <w:endnoteReference w:id="1"/>
      </w:r>
      <w:r w:rsidRPr="00813852">
        <w:rPr>
          <w:rFonts w:ascii="Arial" w:hAnsi="Arial" w:cs="Arial"/>
        </w:rPr>
        <w:t xml:space="preserve">, en una cohorte de mayor edad mostró un menor rendimiento al año post implante, posiblemente atribuido a la necesidad de una fase de adaptación </w:t>
      </w:r>
      <w:proofErr w:type="spellStart"/>
      <w:r w:rsidRPr="00813852">
        <w:rPr>
          <w:rFonts w:ascii="Arial" w:hAnsi="Arial" w:cs="Arial"/>
        </w:rPr>
        <w:t>mas</w:t>
      </w:r>
      <w:proofErr w:type="spellEnd"/>
      <w:r w:rsidRPr="00813852">
        <w:rPr>
          <w:rFonts w:ascii="Arial" w:hAnsi="Arial" w:cs="Arial"/>
        </w:rPr>
        <w:t xml:space="preserve"> larga en pacientes </w:t>
      </w:r>
      <w:proofErr w:type="spellStart"/>
      <w:r w:rsidRPr="00813852">
        <w:rPr>
          <w:rFonts w:ascii="Arial" w:hAnsi="Arial" w:cs="Arial"/>
        </w:rPr>
        <w:t>aun</w:t>
      </w:r>
      <w:proofErr w:type="spellEnd"/>
      <w:r w:rsidRPr="00813852">
        <w:rPr>
          <w:rFonts w:ascii="Arial" w:hAnsi="Arial" w:cs="Arial"/>
        </w:rPr>
        <w:t xml:space="preserve"> mayores. </w:t>
      </w:r>
      <w:proofErr w:type="spellStart"/>
      <w:r w:rsidRPr="00813852">
        <w:rPr>
          <w:rFonts w:ascii="Arial" w:hAnsi="Arial" w:cs="Arial"/>
        </w:rPr>
        <w:t>Jolink</w:t>
      </w:r>
      <w:proofErr w:type="spellEnd"/>
      <w:r w:rsidRPr="00813852">
        <w:rPr>
          <w:rFonts w:ascii="Arial" w:hAnsi="Arial" w:cs="Arial"/>
        </w:rPr>
        <w:t xml:space="preserve"> y col</w:t>
      </w:r>
      <w:r w:rsidRPr="00813852">
        <w:rPr>
          <w:rStyle w:val="Refdenotaalfinal"/>
          <w:rFonts w:ascii="Arial" w:hAnsi="Arial" w:cs="Arial"/>
        </w:rPr>
        <w:endnoteReference w:id="2"/>
      </w:r>
      <w:r w:rsidRPr="00813852">
        <w:rPr>
          <w:rFonts w:ascii="Arial" w:hAnsi="Arial" w:cs="Arial"/>
        </w:rPr>
        <w:t xml:space="preserve">. En su estudio evaluó el desempeño de la discriminación del lenguaje en personas mayores luego del IC y su estabilidad, con seguimiento entre 4,4 y 5,3 años, sin encontrar diferencias significativas en la discriminación del lenguaje con grupos </w:t>
      </w:r>
      <w:proofErr w:type="spellStart"/>
      <w:proofErr w:type="gramStart"/>
      <w:r w:rsidRPr="00813852">
        <w:rPr>
          <w:rFonts w:ascii="Arial" w:hAnsi="Arial" w:cs="Arial"/>
        </w:rPr>
        <w:t>mas</w:t>
      </w:r>
      <w:proofErr w:type="spellEnd"/>
      <w:proofErr w:type="gramEnd"/>
      <w:r w:rsidRPr="00813852">
        <w:rPr>
          <w:rFonts w:ascii="Arial" w:hAnsi="Arial" w:cs="Arial"/>
        </w:rPr>
        <w:t xml:space="preserve"> jóvenes, ni cambios significativos durante el seguimiento a través del tiempo. </w:t>
      </w:r>
      <w:proofErr w:type="spellStart"/>
      <w:r w:rsidRPr="00813852">
        <w:rPr>
          <w:rFonts w:ascii="Arial" w:hAnsi="Arial" w:cs="Arial"/>
        </w:rPr>
        <w:t>Chatelin</w:t>
      </w:r>
      <w:proofErr w:type="spellEnd"/>
      <w:r w:rsidRPr="00813852">
        <w:rPr>
          <w:rFonts w:ascii="Arial" w:hAnsi="Arial" w:cs="Arial"/>
        </w:rPr>
        <w:t xml:space="preserve"> y col</w:t>
      </w:r>
      <w:r w:rsidRPr="00813852">
        <w:rPr>
          <w:rStyle w:val="Refdenotaalfinal"/>
          <w:rFonts w:ascii="Arial" w:hAnsi="Arial" w:cs="Arial"/>
        </w:rPr>
        <w:endnoteReference w:id="3"/>
      </w:r>
      <w:r w:rsidRPr="00813852">
        <w:rPr>
          <w:rFonts w:ascii="Arial" w:hAnsi="Arial" w:cs="Arial"/>
        </w:rPr>
        <w:t>, tampoco encontró diferencias estadísticamente significativas a</w:t>
      </w:r>
      <w:r>
        <w:rPr>
          <w:rFonts w:ascii="Arial" w:hAnsi="Arial" w:cs="Arial"/>
        </w:rPr>
        <w:t xml:space="preserve"> </w:t>
      </w:r>
      <w:r w:rsidRPr="00813852">
        <w:rPr>
          <w:rFonts w:ascii="Arial" w:hAnsi="Arial" w:cs="Arial"/>
        </w:rPr>
        <w:t xml:space="preserve">través del tiempo. </w:t>
      </w:r>
    </w:p>
    <w:p w14:paraId="6507E777" w14:textId="0012A375" w:rsidR="00E50C09" w:rsidRPr="00E50C09" w:rsidRDefault="00E50C09" w:rsidP="00E50C09">
      <w:pPr>
        <w:jc w:val="both"/>
        <w:rPr>
          <w:rFonts w:ascii="Arial" w:hAnsi="Arial" w:cs="Arial"/>
          <w:lang w:val="es-ES"/>
        </w:rPr>
      </w:pPr>
    </w:p>
    <w:p w14:paraId="7B47B20B" w14:textId="33D037A2" w:rsidR="00E50C09" w:rsidRPr="00E50C09" w:rsidRDefault="00E50C09" w:rsidP="00E50C09">
      <w:pPr>
        <w:jc w:val="both"/>
        <w:rPr>
          <w:rFonts w:ascii="Arial" w:hAnsi="Arial" w:cs="Arial"/>
          <w:lang w:val="es-ES"/>
        </w:rPr>
      </w:pPr>
      <w:r w:rsidRPr="00E50C09">
        <w:rPr>
          <w:rFonts w:ascii="Arial" w:hAnsi="Arial" w:cs="Arial"/>
          <w:lang w:val="es-ES"/>
        </w:rPr>
        <w:t>En nuestra población, se encontraron dife</w:t>
      </w:r>
      <w:r w:rsidR="00813852">
        <w:rPr>
          <w:rFonts w:ascii="Arial" w:hAnsi="Arial" w:cs="Arial"/>
          <w:lang w:val="es-ES"/>
        </w:rPr>
        <w:t>rencias para los valores del PTA</w:t>
      </w:r>
      <w:r w:rsidRPr="00E50C09">
        <w:rPr>
          <w:rFonts w:ascii="Arial" w:hAnsi="Arial" w:cs="Arial"/>
          <w:lang w:val="es-ES"/>
        </w:rPr>
        <w:t xml:space="preserve"> a los 6 meses de acuerdo a la etiología (r</w:t>
      </w:r>
      <w:r w:rsidRPr="00E50C09">
        <w:rPr>
          <w:rFonts w:ascii="Arial" w:hAnsi="Arial" w:cs="Arial"/>
          <w:vertAlign w:val="superscript"/>
          <w:lang w:val="es-ES"/>
        </w:rPr>
        <w:t>2</w:t>
      </w:r>
      <w:r w:rsidRPr="00E50C09">
        <w:rPr>
          <w:rFonts w:ascii="Arial" w:hAnsi="Arial" w:cs="Arial"/>
          <w:lang w:val="es-ES"/>
        </w:rPr>
        <w:t xml:space="preserve">: 0.22, p=0.039). Cabe aclarar, que el porcentaje de variación es bajo y esto puede ser secundario al tamaño de la </w:t>
      </w:r>
      <w:r w:rsidRPr="00E50C09">
        <w:rPr>
          <w:rFonts w:ascii="Arial" w:hAnsi="Arial" w:cs="Arial"/>
          <w:lang w:val="es-ES"/>
        </w:rPr>
        <w:lastRenderedPageBreak/>
        <w:t>muestra y el tipo de muestreo, que genera una selección como su nombre lo dice por conveniencia de los pacientes y puede introducir sesgos en los resultados. Sin embargo, el porcentaje de pacientes descritos como etiología desconocida a la luz de la medicina moderna pueden corresponder a pacientes con alteraciones de tipo genético en los genes de sordera y que han sido evidenciados en el 35.8% de los pacientes adultos con hipoacusia.</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"10.1097/MAO.0000000000000936", "ISBN" : "1531-7129", "ISSN" : "1531-7129", "PMID" : "26756145", "abstract" : "OBJECTIVE: Cochlear implantation is the most important treatment currently available for profound sensorineural hearing loss. The aim of this study was to investigate the etiology of hearing loss in patients with cochlear implantation, and to compare outcomes. METHODS: Japanese hearing loss patients who received cochlear implants (CIs) or electric acoustic stimulation (EAS) in Shinshu University hospital (n = 173, prelingual onset: 92, postlingual onset: 81) participated in this study. Invader assay followed by the targeted exon-sequencing of 63 deafness genes using Massively parallel DNA sequencing (MPS) was applied. For prelingual patients, additional imaging examination, cCMV screening, and pediatric examination were performed for precise diagnosis. RESULTS: Genetic screening successfully identified the causative mutation in 60% of patients with prelingual onset hearing loss and in 36% of those with postlingual hearing loss. Differences in the kinds of genes identified were observed between the two groups. Although there were marked variations in the outcome of cochlear implantation, patients with specific deafness gene mutations showed relatively good results. CONCLUSION: The present study showed genetic etiology is a major cause of hearing loss in CI/EAS patients. Patients possessing mutations in a number of deafness genes known to be expressed within inner ear have achieved satisfactory auditory performance, suggesting that the identification of the genetic background facilitates the prediction of post-CI performance. MPS is a powerful tool for the identification of causative deafness genes in patients receiving cochlear implantation. Therefore, determination of the involved region inside/outside of the cochlea by identification of the responsible gene is essential.", "author" : [ { "dropping-particle" : "", "family" : "Miyagawa", "given" : "Maiko", "non-dropping-particle" : "", "parse-names" : false, "suffix" : "" }, { "dropping-particle" : "", "family" : "Nishio", "given" : "Shin-Ya", "non-dropping-particle" : "", "parse-names" : false, "suffix" : "" }, { "dropping-particle" : "", "family" : "Usami", "given" : "Shin-Ichi", "non-dropping-particle" : "", "parse-names" : false, "suffix" : "" } ], "container-title" : "Otology &amp; Neurotology", "id" : "ITEM-1", "issue" : "2", "issued" : { "date-parts" : [ [ "2016" ] ] }, "page" : "e126-e134", "title" : "A Comprehensive Study on the Etiology of Patients Receiving Cochlear Implantation With Special Emphasis on Genetic Epidemiology", "type" : "article-journal", "volume" : "37" }, "uris" : [ "http://www.mendeley.com/documents/?uuid=2ef22dea-bd73-45ed-8481-0eef256a7b29" ] } ], "mendeley" : { "formattedCitation" : "&lt;sup&gt;24&lt;/sup&gt;", "plainTextFormattedCitation" : "24", "previouslyFormattedCitation" : "&lt;sup&gt;24&lt;/sup&gt;" }, "properties" : { "noteIndex" : 67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24</w:t>
      </w:r>
      <w:r w:rsidRPr="00E50C09">
        <w:rPr>
          <w:rFonts w:ascii="Arial" w:hAnsi="Arial" w:cs="Arial"/>
          <w:lang w:val="es-ES"/>
        </w:rPr>
        <w:fldChar w:fldCharType="end"/>
      </w:r>
      <w:r w:rsidRPr="00E50C09">
        <w:rPr>
          <w:rFonts w:ascii="Arial" w:hAnsi="Arial" w:cs="Arial"/>
          <w:lang w:val="es-ES"/>
        </w:rPr>
        <w:t xml:space="preserve"> Esta sub-clasificación podría generar variaciones en los resultados, dado que pacientes con sorderas no </w:t>
      </w:r>
      <w:proofErr w:type="spellStart"/>
      <w:r w:rsidRPr="00E50C09">
        <w:rPr>
          <w:rFonts w:ascii="Arial" w:hAnsi="Arial" w:cs="Arial"/>
          <w:lang w:val="es-ES"/>
        </w:rPr>
        <w:t>sindrómicas</w:t>
      </w:r>
      <w:proofErr w:type="spellEnd"/>
      <w:r w:rsidRPr="00E50C09">
        <w:rPr>
          <w:rFonts w:ascii="Arial" w:hAnsi="Arial" w:cs="Arial"/>
          <w:lang w:val="es-ES"/>
        </w:rPr>
        <w:t xml:space="preserve"> tienen mejores resultados en las pruebas </w:t>
      </w:r>
      <w:proofErr w:type="spellStart"/>
      <w:r w:rsidRPr="00E50C09">
        <w:rPr>
          <w:rFonts w:ascii="Arial" w:hAnsi="Arial" w:cs="Arial"/>
          <w:lang w:val="es-ES"/>
        </w:rPr>
        <w:t>audiométricas</w:t>
      </w:r>
      <w:proofErr w:type="spellEnd"/>
      <w:r w:rsidRPr="00E50C09">
        <w:rPr>
          <w:rFonts w:ascii="Arial" w:hAnsi="Arial" w:cs="Arial"/>
          <w:lang w:val="es-ES"/>
        </w:rPr>
        <w:t xml:space="preserve"> al ser comparados con otros pacientes. </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"10.1097/MAO.0000000000000936", "ISBN" : "1531-7129", "ISSN" : "1531-7129", "PMID" : "26756145", "abstract" : "OBJECTIVE: Cochlear implantation is the most important treatment currently available for profound sensorineural hearing loss. The aim of this study was to investigate the etiology of hearing loss in patients with cochlear implantation, and to compare outcomes. METHODS: Japanese hearing loss patients who received cochlear implants (CIs) or electric acoustic stimulation (EAS) in Shinshu University hospital (n = 173, prelingual onset: 92, postlingual onset: 81) participated in this study. Invader assay followed by the targeted exon-sequencing of 63 deafness genes using Massively parallel DNA sequencing (MPS) was applied. For prelingual patients, additional imaging examination, cCMV screening, and pediatric examination were performed for precise diagnosis. RESULTS: Genetic screening successfully identified the causative mutation in 60% of patients with prelingual onset hearing loss and in 36% of those with postlingual hearing loss. Differences in the kinds of genes identified were observed between the two groups. Although there were marked variations in the outcome of cochlear implantation, patients with specific deafness gene mutations showed relatively good results. CONCLUSION: The present study showed genetic etiology is a major cause of hearing loss in CI/EAS patients. Patients possessing mutations in a number of deafness genes known to be expressed within inner ear have achieved satisfactory auditory performance, suggesting that the identification of the genetic background facilitates the prediction of post-CI performance. MPS is a powerful tool for the identification of causative deafness genes in patients receiving cochlear implantation. Therefore, determination of the involved region inside/outside of the cochlea by identification of the responsible gene is essential.", "author" : [ { "dropping-particle" : "", "family" : "Miyagawa", "given" : "Maiko", "non-dropping-particle" : "", "parse-names" : false, "suffix" : "" }, { "dropping-particle" : "", "family" : "Nishio", "given" : "Shin-Ya", "non-dropping-particle" : "", "parse-names" : false, "suffix" : "" }, { "dropping-particle" : "", "family" : "Usami", "given" : "Shin-Ichi", "non-dropping-particle" : "", "parse-names" : false, "suffix" : "" } ], "container-title" : "Otology &amp; Neurotology", "id" : "ITEM-1", "issue" : "2", "issued" : { "date-parts" : [ [ "2016" ] ] }, "page" : "e126-e134", "title" : "A Comprehensive Study on the Etiology of Patients Receiving Cochlear Implantation With Special Emphasis on Genetic Epidemiology", "type" : "article-journal", "volume" : "37" }, "uris" : [ "http://www.mendeley.com/documents/?uuid=2ef22dea-bd73-45ed-8481-0eef256a7b29" ] } ], "mendeley" : { "formattedCitation" : "&lt;sup&gt;24&lt;/sup&gt;", "plainTextFormattedCitation" : "24", "previouslyFormattedCitation" : "&lt;sup&gt;24&lt;/sup&gt;" }, "properties" : { "noteIndex" : 67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24</w:t>
      </w:r>
      <w:r w:rsidRPr="00E50C09">
        <w:rPr>
          <w:rFonts w:ascii="Arial" w:hAnsi="Arial" w:cs="Arial"/>
          <w:lang w:val="es-ES"/>
        </w:rPr>
        <w:fldChar w:fldCharType="end"/>
      </w:r>
    </w:p>
    <w:p w14:paraId="08864CD5" w14:textId="77777777" w:rsidR="00E50C09" w:rsidRPr="00E50C09" w:rsidRDefault="00E50C09" w:rsidP="00E50C09">
      <w:pPr>
        <w:jc w:val="both"/>
        <w:rPr>
          <w:rFonts w:ascii="Arial" w:hAnsi="Arial" w:cs="Arial"/>
          <w:lang w:val="es-ES"/>
        </w:rPr>
      </w:pPr>
    </w:p>
    <w:p w14:paraId="233E2C2C" w14:textId="77777777" w:rsidR="00E50C09" w:rsidRDefault="00E50C09" w:rsidP="00E50C09">
      <w:pPr>
        <w:jc w:val="both"/>
        <w:rPr>
          <w:rStyle w:val="apple-converted-space"/>
          <w:rFonts w:ascii="Arial" w:hAnsi="Arial" w:cs="Arial"/>
          <w:lang w:val="es-ES"/>
        </w:rPr>
      </w:pPr>
      <w:r w:rsidRPr="00E50C09">
        <w:rPr>
          <w:rFonts w:ascii="Arial" w:hAnsi="Arial" w:cs="Arial"/>
          <w:lang w:val="es-ES"/>
        </w:rPr>
        <w:t xml:space="preserve">Alrededor del mundo se han desarrollado diferentes tipos de dispositivos, técnicas y procedimientos con la intención de mejorar los resultados quirúrgicos y mantener bajas las tasas de complicaciones </w:t>
      </w:r>
      <w:proofErr w:type="spellStart"/>
      <w:r w:rsidRPr="00E50C09">
        <w:rPr>
          <w:rFonts w:ascii="Arial" w:hAnsi="Arial" w:cs="Arial"/>
          <w:lang w:val="es-ES"/>
        </w:rPr>
        <w:t>intra</w:t>
      </w:r>
      <w:proofErr w:type="spellEnd"/>
      <w:r w:rsidRPr="00E50C09">
        <w:rPr>
          <w:rFonts w:ascii="Arial" w:hAnsi="Arial" w:cs="Arial"/>
          <w:lang w:val="es-ES"/>
        </w:rPr>
        <w:t xml:space="preserve"> y post operatorias.</w:t>
      </w:r>
      <w:r w:rsidRPr="00E50C09">
        <w:rPr>
          <w:rFonts w:ascii="Arial" w:hAnsi="Arial" w:cs="Arial"/>
          <w:lang w:val="es-ES"/>
        </w:rPr>
        <w:fldChar w:fldCharType="begin" w:fldLock="1"/>
      </w:r>
      <w:r w:rsidRPr="00E50C09">
        <w:rPr>
          <w:rFonts w:ascii="Arial" w:hAnsi="Arial" w:cs="Arial"/>
          <w:lang w:val="es-ES"/>
        </w:rPr>
        <w:instrText>ADDIN CSL_CITATION { "citationItems" : [ { "id" : "ITEM-1", "itemData" : { "DOI" : "10.1016/j.anl.2016.03.012", "ISSN" : "18791476", "PMID" : "27146006", "abstract" : "Objective Cochlear implants (CI) are electronic devices that enable the auditory rehabilitation and the management of individuals with severe to profound bilateral hearing loss, and nowadays, advanced age is not considered a contraindication for cochlear implantation and several studies have shown that older adults do benefit from CI, with improvements in hearing abilities and quality of life. Methods Retrospective analysis of patients older than 18 years who underwent cochlear implant surgery in a tertiary academic centre. Results 57 patients met the inclusion criteria: 25 (43.9%) male and 32 (56.1%) female. Total percentage of minor complication was 24.6% and major complication was 17.5%. The most common minor complication in our series was vestibular disorder, and the most common major complication was device failure. No correlation was found among age, previous meningitis, anatomical variables or comorbidities with the appearance of complications. Conclusion Cochlear implantation is a safe surgical technique for rehabilitation of severe to profound sensorineural hearing loss. According to our results, neither the age over 65 years nor the presence of comorbidities does have a direct impact over the complication rates in our patients.", "author" : [ { "dropping-particle" : "", "family" : "Chiesa Estomba", "given" : "Carlos Miguel", "non-dropping-particle" : "", "parse-names" : false, "suffix" : "" }, { "dropping-particle" : "", "family" : "Rivera Schmitz", "given" : "Teresa", "non-dropping-particle" : "", "parse-names" : false, "suffix" : "" }, { "dropping-particle" : "", "family" : "Betances Reinoso", "given" : "Frank Alberto", "non-dropping-particle" : "", "parse-names" : false, "suffix" : "" }, { "dropping-particle" : "", "family" : "Dominguez Collado", "given" : "Lenin", "non-dropping-particle" : "", "parse-names" : false, "suffix" : "" }, { "dropping-particle" : "", "family" : "Estevez Garcia", "given" : "Manuel", "non-dropping-particle" : "", "parse-names" : false, "suffix" : "" }, { "dropping-particle" : "", "family" : "Lorenzo Lorenzo", "given" : "Ana Isabel", "non-dropping-particle" : "", "parse-names" : false, "suffix" : "" } ], "container-title" : "Auris Nasus Larynx", "id" : "ITEM-1", "issue" : "1", "issued" : { "date-parts" : [ [ "2017" ] ] }, "page" : "40-45", "publisher" : "Elsevier Ireland Ltd", "title" : "Complications after cochlear implantation in adult patients. 10-Year retrospective analysis of a tertiary academic centre", "type" : "article-journal", "volume" : "44" }, "uris" : [ "http://www.mendeley.com/documents/?uuid=4ead1a82-85cf-4569-8aaf-ae5219224c7c" ] } ], "mendeley" : { "formattedCitation" : "&lt;sup&gt;25&lt;/sup&gt;", "plainTextFormattedCitation" : "25", "previouslyFormattedCitation" : "&lt;sup&gt;25&lt;/sup&gt;" }, "properties" : { "noteIndex" : 18 }, "schema" : "https://github.com/citation-style-language/schema/raw/master/csl-citation.json" }</w:instrText>
      </w:r>
      <w:r w:rsidRPr="00E50C09">
        <w:rPr>
          <w:rFonts w:ascii="Arial" w:hAnsi="Arial" w:cs="Arial"/>
          <w:lang w:val="es-ES"/>
        </w:rPr>
        <w:fldChar w:fldCharType="separate"/>
      </w:r>
      <w:r w:rsidRPr="00E50C09">
        <w:rPr>
          <w:rFonts w:ascii="Arial" w:hAnsi="Arial" w:cs="Arial"/>
          <w:noProof/>
          <w:vertAlign w:val="superscript"/>
          <w:lang w:val="es-ES"/>
        </w:rPr>
        <w:t>25</w:t>
      </w:r>
      <w:r w:rsidRPr="00E50C09">
        <w:rPr>
          <w:rFonts w:ascii="Arial" w:hAnsi="Arial" w:cs="Arial"/>
          <w:lang w:val="es-ES"/>
        </w:rPr>
        <w:fldChar w:fldCharType="end"/>
      </w:r>
      <w:r w:rsidRPr="00E50C09">
        <w:rPr>
          <w:rStyle w:val="apple-converted-space"/>
          <w:rFonts w:ascii="Arial" w:hAnsi="Arial" w:cs="Arial"/>
          <w:lang w:val="es-ES"/>
        </w:rPr>
        <w:t xml:space="preserve"> En nuestro estudio el tipo de dispositivo no se vio asociado con los resultados de las pruebas </w:t>
      </w:r>
      <w:proofErr w:type="spellStart"/>
      <w:r w:rsidRPr="00E50C09">
        <w:rPr>
          <w:rStyle w:val="apple-converted-space"/>
          <w:rFonts w:ascii="Arial" w:hAnsi="Arial" w:cs="Arial"/>
          <w:lang w:val="es-ES"/>
        </w:rPr>
        <w:t>audiométricas</w:t>
      </w:r>
      <w:proofErr w:type="spellEnd"/>
      <w:r w:rsidRPr="00E50C09">
        <w:rPr>
          <w:rStyle w:val="apple-converted-space"/>
          <w:rFonts w:ascii="Arial" w:hAnsi="Arial" w:cs="Arial"/>
          <w:lang w:val="es-ES"/>
        </w:rPr>
        <w:t xml:space="preserve"> post-quirúrgicos, pero si con los resultados pre-quirúrgicos Lo anterior, nos hace pensar que de acuerdo al tipo de audiometría pre-quirúrgica el médico tratante encargado del paciente puede escoger un diferente dispositivo. Sin embargo, dadas las condiciones de nuestro sistema de salud, es más probable pensar que esto es un efecto al azar pues se usaron los implantes que fueron autorizados por las EPS de cada paciente. </w:t>
      </w:r>
    </w:p>
    <w:p w14:paraId="242B765C" w14:textId="77777777" w:rsidR="00DD50B6" w:rsidRPr="00DD50B6" w:rsidRDefault="00DD50B6" w:rsidP="00E50C09">
      <w:pPr>
        <w:jc w:val="both"/>
        <w:rPr>
          <w:rStyle w:val="apple-converted-space"/>
          <w:rFonts w:ascii="Arial" w:hAnsi="Arial" w:cs="Arial"/>
          <w:lang w:val="es-ES"/>
        </w:rPr>
      </w:pPr>
    </w:p>
    <w:p w14:paraId="69CA0BD6" w14:textId="1CA5A4EC" w:rsidR="00DD50B6" w:rsidRPr="00DD50B6" w:rsidRDefault="00DD50B6" w:rsidP="00DD50B6">
      <w:pPr>
        <w:jc w:val="both"/>
        <w:rPr>
          <w:rFonts w:ascii="Arial" w:hAnsi="Arial" w:cs="Arial"/>
        </w:rPr>
      </w:pPr>
      <w:proofErr w:type="spellStart"/>
      <w:r w:rsidRPr="00DD50B6">
        <w:rPr>
          <w:rFonts w:ascii="Arial" w:hAnsi="Arial" w:cs="Arial"/>
        </w:rPr>
        <w:t>Eshragi</w:t>
      </w:r>
      <w:proofErr w:type="spellEnd"/>
      <w:r w:rsidRPr="00DD50B6">
        <w:rPr>
          <w:rFonts w:ascii="Arial" w:hAnsi="Arial" w:cs="Arial"/>
        </w:rPr>
        <w:t xml:space="preserve"> y col. (2009) fue el primero que estudio un grupo de pacientes de edad avanzada (&gt; 79 años, n = 21). </w:t>
      </w:r>
      <w:proofErr w:type="gramStart"/>
      <w:r w:rsidRPr="00DD50B6">
        <w:rPr>
          <w:rFonts w:ascii="Arial" w:hAnsi="Arial" w:cs="Arial"/>
        </w:rPr>
        <w:t>encontrando</w:t>
      </w:r>
      <w:proofErr w:type="gramEnd"/>
      <w:r w:rsidRPr="00DD50B6">
        <w:rPr>
          <w:rFonts w:ascii="Arial" w:hAnsi="Arial" w:cs="Arial"/>
        </w:rPr>
        <w:t xml:space="preserve"> </w:t>
      </w:r>
      <w:r w:rsidR="00813852" w:rsidRPr="00DD50B6">
        <w:rPr>
          <w:rFonts w:ascii="Arial" w:hAnsi="Arial" w:cs="Arial"/>
        </w:rPr>
        <w:t>mejoría</w:t>
      </w:r>
      <w:r w:rsidRPr="00DD50B6">
        <w:rPr>
          <w:rFonts w:ascii="Arial" w:hAnsi="Arial" w:cs="Arial"/>
        </w:rPr>
        <w:t xml:space="preserve"> significativa en el PTA y en la discriminación del lenguaje, con una disminución significativa en las puntuaciones de discapacidad auditiva. </w:t>
      </w:r>
      <w:proofErr w:type="spellStart"/>
      <w:r w:rsidRPr="00DD50B6">
        <w:rPr>
          <w:rFonts w:ascii="Arial" w:hAnsi="Arial" w:cs="Arial"/>
        </w:rPr>
        <w:t>Carlson</w:t>
      </w:r>
      <w:proofErr w:type="spellEnd"/>
      <w:r w:rsidRPr="00DD50B6">
        <w:rPr>
          <w:rFonts w:ascii="Arial" w:hAnsi="Arial" w:cs="Arial"/>
        </w:rPr>
        <w:t xml:space="preserve"> y col. (2010) encontró resultados similares entre grupos de </w:t>
      </w:r>
      <w:proofErr w:type="gramStart"/>
      <w:r w:rsidRPr="00DD50B6">
        <w:rPr>
          <w:rFonts w:ascii="Arial" w:hAnsi="Arial" w:cs="Arial"/>
        </w:rPr>
        <w:t>pacientes independiente</w:t>
      </w:r>
      <w:proofErr w:type="gramEnd"/>
      <w:r w:rsidRPr="00DD50B6">
        <w:rPr>
          <w:rFonts w:ascii="Arial" w:hAnsi="Arial" w:cs="Arial"/>
        </w:rPr>
        <w:t xml:space="preserve"> de la edad. </w:t>
      </w:r>
      <w:proofErr w:type="spellStart"/>
      <w:r w:rsidRPr="00DD50B6">
        <w:rPr>
          <w:rFonts w:ascii="Arial" w:hAnsi="Arial" w:cs="Arial"/>
        </w:rPr>
        <w:t>Olze</w:t>
      </w:r>
      <w:proofErr w:type="spellEnd"/>
      <w:r w:rsidRPr="00DD50B6">
        <w:rPr>
          <w:rFonts w:ascii="Arial" w:hAnsi="Arial" w:cs="Arial"/>
        </w:rPr>
        <w:t xml:space="preserve"> y col. (2012) comparo a un grupo de pacientes </w:t>
      </w:r>
      <w:r w:rsidR="00813852" w:rsidRPr="00DD50B6">
        <w:rPr>
          <w:rFonts w:ascii="Arial" w:hAnsi="Arial" w:cs="Arial"/>
        </w:rPr>
        <w:t>jóvenes</w:t>
      </w:r>
      <w:r w:rsidRPr="00DD50B6">
        <w:rPr>
          <w:rFonts w:ascii="Arial" w:hAnsi="Arial" w:cs="Arial"/>
        </w:rPr>
        <w:t xml:space="preserve">,  con un grupo de pacientes ancianos (&gt;70 años) y encontró que la discriminación del habla y la </w:t>
      </w:r>
      <w:r w:rsidR="00813852" w:rsidRPr="00DD50B6">
        <w:rPr>
          <w:rFonts w:ascii="Arial" w:hAnsi="Arial" w:cs="Arial"/>
        </w:rPr>
        <w:t>mejoría</w:t>
      </w:r>
      <w:r w:rsidRPr="00DD50B6">
        <w:rPr>
          <w:rFonts w:ascii="Arial" w:hAnsi="Arial" w:cs="Arial"/>
        </w:rPr>
        <w:t xml:space="preserve"> subjetiva de la audición fue similar en los dos grupos de edad luego del IC.  Park y col. (2011) </w:t>
      </w:r>
      <w:r w:rsidR="00813852" w:rsidRPr="00DD50B6">
        <w:rPr>
          <w:rFonts w:ascii="Arial" w:hAnsi="Arial" w:cs="Arial"/>
        </w:rPr>
        <w:t>encontró</w:t>
      </w:r>
      <w:r w:rsidRPr="00DD50B6">
        <w:rPr>
          <w:rFonts w:ascii="Arial" w:hAnsi="Arial" w:cs="Arial"/>
        </w:rPr>
        <w:t xml:space="preserve"> que en pacientes mayores (&gt; 65 años) los beneficios audiológicos y en calidad de vida eran similares a los de los pacientes </w:t>
      </w:r>
      <w:proofErr w:type="spellStart"/>
      <w:r w:rsidRPr="00DD50B6">
        <w:rPr>
          <w:rFonts w:ascii="Arial" w:hAnsi="Arial" w:cs="Arial"/>
        </w:rPr>
        <w:t>mas</w:t>
      </w:r>
      <w:proofErr w:type="spellEnd"/>
      <w:r w:rsidRPr="00DD50B6">
        <w:rPr>
          <w:rFonts w:ascii="Arial" w:hAnsi="Arial" w:cs="Arial"/>
        </w:rPr>
        <w:t xml:space="preserve"> jóvenes y por lo tanto concluyo que la edad no debía ser un factor limitante.</w:t>
      </w:r>
    </w:p>
    <w:p w14:paraId="326863D1" w14:textId="77777777" w:rsidR="00DD50B6" w:rsidRPr="00DD50B6" w:rsidRDefault="00DD50B6" w:rsidP="00E50C09">
      <w:pPr>
        <w:jc w:val="both"/>
        <w:rPr>
          <w:rFonts w:ascii="Arial" w:hAnsi="Arial" w:cs="Arial"/>
          <w:lang w:val="es-ES"/>
        </w:rPr>
      </w:pPr>
    </w:p>
    <w:p w14:paraId="1545FA39" w14:textId="77777777" w:rsidR="00DD50B6" w:rsidRPr="00DD50B6" w:rsidRDefault="00DD50B6" w:rsidP="00DD50B6">
      <w:pPr>
        <w:jc w:val="both"/>
        <w:rPr>
          <w:rFonts w:ascii="Arial" w:hAnsi="Arial" w:cs="Arial"/>
        </w:rPr>
      </w:pPr>
      <w:r w:rsidRPr="00DD50B6">
        <w:rPr>
          <w:rFonts w:ascii="Arial" w:hAnsi="Arial" w:cs="Arial"/>
        </w:rPr>
        <w:t xml:space="preserve">En un gran estudio prospectivo de cohortes en Estados Unidos (749 Pacientes; Edad 14-91 años), </w:t>
      </w:r>
      <w:proofErr w:type="spellStart"/>
      <w:r w:rsidRPr="00DD50B6">
        <w:rPr>
          <w:rFonts w:ascii="Arial" w:hAnsi="Arial" w:cs="Arial"/>
        </w:rPr>
        <w:t>Leung</w:t>
      </w:r>
      <w:proofErr w:type="spellEnd"/>
      <w:r w:rsidRPr="00DD50B6">
        <w:rPr>
          <w:rFonts w:ascii="Arial" w:hAnsi="Arial" w:cs="Arial"/>
        </w:rPr>
        <w:t xml:space="preserve"> y col. (2005) </w:t>
      </w:r>
      <w:proofErr w:type="spellStart"/>
      <w:r w:rsidRPr="00DD50B6">
        <w:rPr>
          <w:rFonts w:ascii="Arial" w:hAnsi="Arial" w:cs="Arial"/>
        </w:rPr>
        <w:t>establecio</w:t>
      </w:r>
      <w:proofErr w:type="spellEnd"/>
      <w:r w:rsidRPr="00DD50B6">
        <w:rPr>
          <w:rFonts w:ascii="Arial" w:hAnsi="Arial" w:cs="Arial"/>
        </w:rPr>
        <w:t xml:space="preserve"> que la edad </w:t>
      </w:r>
      <w:proofErr w:type="spellStart"/>
      <w:r w:rsidRPr="00DD50B6">
        <w:rPr>
          <w:rFonts w:ascii="Arial" w:hAnsi="Arial" w:cs="Arial"/>
        </w:rPr>
        <w:t>tenia</w:t>
      </w:r>
      <w:proofErr w:type="spellEnd"/>
      <w:r w:rsidRPr="00DD50B6">
        <w:rPr>
          <w:rFonts w:ascii="Arial" w:hAnsi="Arial" w:cs="Arial"/>
        </w:rPr>
        <w:t xml:space="preserve"> un efecto significativo en el resultado postoperatorio del implante coclear (65 años o más). Analizando los resultados previos de Tyler y </w:t>
      </w:r>
      <w:proofErr w:type="spellStart"/>
      <w:r w:rsidRPr="00DD50B6">
        <w:rPr>
          <w:rFonts w:ascii="Arial" w:hAnsi="Arial" w:cs="Arial"/>
        </w:rPr>
        <w:t>Summerfield</w:t>
      </w:r>
      <w:proofErr w:type="spellEnd"/>
      <w:r w:rsidRPr="00DD50B6">
        <w:rPr>
          <w:rFonts w:ascii="Arial" w:hAnsi="Arial" w:cs="Arial"/>
        </w:rPr>
        <w:t xml:space="preserve"> (1996), </w:t>
      </w:r>
      <w:proofErr w:type="spellStart"/>
      <w:r w:rsidRPr="00DD50B6">
        <w:rPr>
          <w:rFonts w:ascii="Arial" w:hAnsi="Arial" w:cs="Arial"/>
        </w:rPr>
        <w:t>Shipp</w:t>
      </w:r>
      <w:proofErr w:type="spellEnd"/>
      <w:r w:rsidRPr="00DD50B6">
        <w:rPr>
          <w:rFonts w:ascii="Arial" w:hAnsi="Arial" w:cs="Arial"/>
        </w:rPr>
        <w:t xml:space="preserve"> y </w:t>
      </w:r>
      <w:proofErr w:type="spellStart"/>
      <w:r w:rsidRPr="00DD50B6">
        <w:rPr>
          <w:rFonts w:ascii="Arial" w:hAnsi="Arial" w:cs="Arial"/>
        </w:rPr>
        <w:t>Nedzelski</w:t>
      </w:r>
      <w:proofErr w:type="spellEnd"/>
      <w:r w:rsidRPr="00DD50B6">
        <w:rPr>
          <w:rFonts w:ascii="Arial" w:hAnsi="Arial" w:cs="Arial"/>
        </w:rPr>
        <w:t xml:space="preserve"> (1995) y Rubinstein (1999), se ha encontrado que la duración de la hipoacusia y la audición residual son los factores pronósticos </w:t>
      </w:r>
      <w:proofErr w:type="spellStart"/>
      <w:proofErr w:type="gramStart"/>
      <w:r w:rsidRPr="00DD50B6">
        <w:rPr>
          <w:rFonts w:ascii="Arial" w:hAnsi="Arial" w:cs="Arial"/>
        </w:rPr>
        <w:t>mas</w:t>
      </w:r>
      <w:proofErr w:type="spellEnd"/>
      <w:proofErr w:type="gramEnd"/>
      <w:r w:rsidRPr="00DD50B6">
        <w:rPr>
          <w:rFonts w:ascii="Arial" w:hAnsi="Arial" w:cs="Arial"/>
        </w:rPr>
        <w:t xml:space="preserve"> importantes. En casos de </w:t>
      </w:r>
      <w:proofErr w:type="spellStart"/>
      <w:proofErr w:type="gramStart"/>
      <w:r w:rsidRPr="00DD50B6">
        <w:rPr>
          <w:rFonts w:ascii="Arial" w:hAnsi="Arial" w:cs="Arial"/>
        </w:rPr>
        <w:t>mas</w:t>
      </w:r>
      <w:proofErr w:type="spellEnd"/>
      <w:proofErr w:type="gramEnd"/>
      <w:r w:rsidRPr="00DD50B6">
        <w:rPr>
          <w:rFonts w:ascii="Arial" w:hAnsi="Arial" w:cs="Arial"/>
        </w:rPr>
        <w:t xml:space="preserve"> de 25 años de evolución de la hipoacusia se ha encontrado una menor discriminación en el lenguaje. </w:t>
      </w:r>
    </w:p>
    <w:p w14:paraId="23314E95" w14:textId="77777777" w:rsidR="00E50C09" w:rsidRPr="00DD50B6" w:rsidRDefault="00E50C09" w:rsidP="00E50C09">
      <w:pPr>
        <w:rPr>
          <w:rFonts w:ascii="Arial" w:hAnsi="Arial" w:cs="Arial"/>
          <w:lang w:val="es-ES"/>
        </w:rPr>
      </w:pPr>
    </w:p>
    <w:p w14:paraId="247CA7EB" w14:textId="5D42AC54" w:rsidR="00455504" w:rsidRDefault="00E50C09" w:rsidP="00455504">
      <w:pPr>
        <w:jc w:val="both"/>
        <w:rPr>
          <w:rFonts w:ascii="Arial" w:hAnsi="Arial" w:cs="Arial"/>
          <w:lang w:val="es-ES"/>
        </w:rPr>
      </w:pPr>
      <w:r w:rsidRPr="00DD50B6">
        <w:rPr>
          <w:rFonts w:ascii="Arial" w:hAnsi="Arial" w:cs="Arial"/>
          <w:lang w:val="es-ES"/>
        </w:rPr>
        <w:t xml:space="preserve">Nuestro estudio es un estudio retrospectivo y por ende tiene las limitaciones propias de su diseño metodológico, adicionalmente variables como tiempo de evolución y complicaciones que pueden influenciar el resultado no fueron tomadas en cuenta y el tamaño de muestra puede influenciar los desenlaces por lo cual los datos deben ser tomados con cautela </w:t>
      </w:r>
    </w:p>
    <w:p w14:paraId="61D9E7B5" w14:textId="77777777" w:rsidR="00455504" w:rsidRDefault="00455504" w:rsidP="00455504">
      <w:pPr>
        <w:jc w:val="both"/>
        <w:rPr>
          <w:rFonts w:ascii="Arial" w:hAnsi="Arial" w:cs="Arial"/>
          <w:lang w:val="es-ES"/>
        </w:rPr>
      </w:pPr>
    </w:p>
    <w:p w14:paraId="7F9AF8BF" w14:textId="77777777" w:rsidR="00455504" w:rsidRPr="00455504" w:rsidRDefault="00455504" w:rsidP="00455504">
      <w:pPr>
        <w:jc w:val="both"/>
        <w:rPr>
          <w:rFonts w:ascii="Arial" w:hAnsi="Arial" w:cs="Arial"/>
          <w:lang w:val="es-ES"/>
        </w:rPr>
      </w:pPr>
    </w:p>
    <w:p w14:paraId="64731222" w14:textId="77777777" w:rsidR="00E50C09" w:rsidRPr="00E50C09" w:rsidRDefault="00E50C09" w:rsidP="00E50C09">
      <w:pPr>
        <w:pStyle w:val="Ttulo1"/>
        <w:rPr>
          <w:rFonts w:ascii="Arial" w:hAnsi="Arial" w:cs="Arial"/>
          <w:color w:val="auto"/>
          <w:sz w:val="24"/>
          <w:szCs w:val="24"/>
        </w:rPr>
      </w:pPr>
      <w:r w:rsidRPr="00E50C09">
        <w:rPr>
          <w:rFonts w:ascii="Arial" w:hAnsi="Arial" w:cs="Arial"/>
          <w:color w:val="auto"/>
          <w:sz w:val="24"/>
          <w:szCs w:val="24"/>
        </w:rPr>
        <w:lastRenderedPageBreak/>
        <w:t>Conclusiones</w:t>
      </w:r>
    </w:p>
    <w:p w14:paraId="5EC9F223" w14:textId="77777777" w:rsidR="00E50C09" w:rsidRDefault="00E50C09" w:rsidP="00E50C09"/>
    <w:p w14:paraId="50BB1BFF" w14:textId="46220F9E" w:rsidR="00E50C09" w:rsidRDefault="00E50C09" w:rsidP="00E50C09">
      <w:pPr>
        <w:jc w:val="both"/>
        <w:rPr>
          <w:rFonts w:ascii="Arial" w:hAnsi="Arial" w:cs="Arial"/>
          <w:lang w:val="es-ES"/>
        </w:rPr>
      </w:pPr>
      <w:r w:rsidRPr="001621C8">
        <w:rPr>
          <w:rFonts w:ascii="Arial" w:hAnsi="Arial" w:cs="Arial"/>
          <w:lang w:val="es-ES"/>
        </w:rPr>
        <w:t xml:space="preserve">Nuestro estudio permite determinar que el implante coclear </w:t>
      </w:r>
      <w:proofErr w:type="gramStart"/>
      <w:r w:rsidR="00524CAB">
        <w:rPr>
          <w:rFonts w:ascii="Arial" w:hAnsi="Arial" w:cs="Arial"/>
          <w:lang w:val="es-ES"/>
        </w:rPr>
        <w:t>( IC</w:t>
      </w:r>
      <w:proofErr w:type="gramEnd"/>
      <w:r w:rsidR="00524CAB">
        <w:rPr>
          <w:rFonts w:ascii="Arial" w:hAnsi="Arial" w:cs="Arial"/>
          <w:lang w:val="es-ES"/>
        </w:rPr>
        <w:t xml:space="preserve">) </w:t>
      </w:r>
      <w:r w:rsidRPr="001621C8">
        <w:rPr>
          <w:rFonts w:ascii="Arial" w:hAnsi="Arial" w:cs="Arial"/>
          <w:lang w:val="es-ES"/>
        </w:rPr>
        <w:t xml:space="preserve">es una estrategia de intervención efectiva y útil en pacientes mayores de 65 años y aporta el sustento científico para el uso de este dispositivo en este tipo de pacientes. </w:t>
      </w:r>
    </w:p>
    <w:p w14:paraId="16E0B8E6" w14:textId="77777777" w:rsidR="00524CAB" w:rsidRPr="001621C8" w:rsidRDefault="00524CAB" w:rsidP="00E50C09">
      <w:pPr>
        <w:jc w:val="both"/>
        <w:rPr>
          <w:rFonts w:ascii="Arial" w:hAnsi="Arial" w:cs="Arial"/>
          <w:lang w:val="es-ES"/>
        </w:rPr>
      </w:pPr>
    </w:p>
    <w:p w14:paraId="352DF2CF" w14:textId="1F5BC6A8" w:rsidR="00E50C09" w:rsidRDefault="00E50C09" w:rsidP="00E50C09">
      <w:pPr>
        <w:jc w:val="both"/>
        <w:rPr>
          <w:rFonts w:ascii="Arial" w:hAnsi="Arial" w:cs="Arial"/>
        </w:rPr>
      </w:pPr>
      <w:r w:rsidRPr="001621C8">
        <w:rPr>
          <w:rFonts w:ascii="Arial" w:hAnsi="Arial" w:cs="Arial"/>
        </w:rPr>
        <w:t xml:space="preserve">Los resultados demuestran que en pacientes mayores de 65 años de edad con criterios </w:t>
      </w:r>
      <w:r w:rsidR="00813852" w:rsidRPr="001621C8">
        <w:rPr>
          <w:rFonts w:ascii="Arial" w:hAnsi="Arial" w:cs="Arial"/>
        </w:rPr>
        <w:t>audiológicos</w:t>
      </w:r>
      <w:r w:rsidRPr="001621C8">
        <w:rPr>
          <w:rFonts w:ascii="Arial" w:hAnsi="Arial" w:cs="Arial"/>
        </w:rPr>
        <w:t xml:space="preserve"> para </w:t>
      </w:r>
      <w:r w:rsidR="00813852" w:rsidRPr="001621C8">
        <w:rPr>
          <w:rFonts w:ascii="Arial" w:hAnsi="Arial" w:cs="Arial"/>
        </w:rPr>
        <w:t>rehabilitación</w:t>
      </w:r>
      <w:r w:rsidRPr="001621C8">
        <w:rPr>
          <w:rFonts w:ascii="Arial" w:hAnsi="Arial" w:cs="Arial"/>
        </w:rPr>
        <w:t xml:space="preserve"> auditiva, el IC es una excelente opción terapéutica. Generalmente la cirugía es bien tolerada, sin incremento en las complicaciones  quirúrgicas postoperatorias. Investigaciones demuestran que la cirugía de IC es un procedimiento seguro incluso en pacientes mayores de 80 años (</w:t>
      </w:r>
      <w:proofErr w:type="spellStart"/>
      <w:r w:rsidRPr="001621C8">
        <w:rPr>
          <w:rFonts w:ascii="Arial" w:hAnsi="Arial" w:cs="Arial"/>
        </w:rPr>
        <w:t>Eshragi</w:t>
      </w:r>
      <w:proofErr w:type="spellEnd"/>
      <w:r w:rsidRPr="001621C8">
        <w:rPr>
          <w:rFonts w:ascii="Arial" w:hAnsi="Arial" w:cs="Arial"/>
        </w:rPr>
        <w:t xml:space="preserve"> 2009, Coelho 2009, </w:t>
      </w:r>
      <w:proofErr w:type="spellStart"/>
      <w:r w:rsidRPr="001621C8">
        <w:rPr>
          <w:rFonts w:ascii="Arial" w:hAnsi="Arial" w:cs="Arial"/>
        </w:rPr>
        <w:t>Chatelin</w:t>
      </w:r>
      <w:proofErr w:type="spellEnd"/>
      <w:r w:rsidRPr="001621C8">
        <w:rPr>
          <w:rFonts w:ascii="Arial" w:hAnsi="Arial" w:cs="Arial"/>
        </w:rPr>
        <w:t xml:space="preserve"> 2004; </w:t>
      </w:r>
      <w:proofErr w:type="spellStart"/>
      <w:r w:rsidRPr="001621C8">
        <w:rPr>
          <w:rFonts w:ascii="Arial" w:hAnsi="Arial" w:cs="Arial"/>
        </w:rPr>
        <w:t>Friedland</w:t>
      </w:r>
      <w:proofErr w:type="spellEnd"/>
      <w:r w:rsidRPr="001621C8">
        <w:rPr>
          <w:rFonts w:ascii="Arial" w:hAnsi="Arial" w:cs="Arial"/>
        </w:rPr>
        <w:t xml:space="preserve"> 2010; </w:t>
      </w:r>
      <w:proofErr w:type="spellStart"/>
      <w:r w:rsidRPr="001621C8">
        <w:rPr>
          <w:rFonts w:ascii="Arial" w:hAnsi="Arial" w:cs="Arial"/>
        </w:rPr>
        <w:t>Carlson</w:t>
      </w:r>
      <w:proofErr w:type="spellEnd"/>
      <w:r w:rsidRPr="001621C8">
        <w:rPr>
          <w:rFonts w:ascii="Arial" w:hAnsi="Arial" w:cs="Arial"/>
        </w:rPr>
        <w:t xml:space="preserve"> 2010). Sin embargo, se requiere una evaluación preoperatoria cuidadosa debido al incremento de los riesgos anestésicos.  </w:t>
      </w:r>
    </w:p>
    <w:p w14:paraId="3EC8BBA0" w14:textId="77777777" w:rsidR="00E50C09" w:rsidRPr="001621C8" w:rsidRDefault="00E50C09" w:rsidP="00E50C09">
      <w:pPr>
        <w:jc w:val="both"/>
        <w:rPr>
          <w:rFonts w:ascii="Arial" w:hAnsi="Arial" w:cs="Arial"/>
        </w:rPr>
      </w:pPr>
    </w:p>
    <w:p w14:paraId="35D2CD74" w14:textId="74A2D540" w:rsidR="00E50C09" w:rsidRDefault="00E50C09" w:rsidP="00E50C09">
      <w:pPr>
        <w:jc w:val="both"/>
        <w:rPr>
          <w:rFonts w:ascii="Arial" w:hAnsi="Arial" w:cs="Arial"/>
        </w:rPr>
      </w:pPr>
      <w:r w:rsidRPr="001621C8">
        <w:rPr>
          <w:rFonts w:ascii="Arial" w:hAnsi="Arial" w:cs="Arial"/>
        </w:rPr>
        <w:t xml:space="preserve">El IC en los ancianos (≥ 65 años) es altamente efectivo; El desempeño auditivo postoperatorio es similar comparado con pacientes </w:t>
      </w:r>
      <w:proofErr w:type="spellStart"/>
      <w:r w:rsidRPr="001621C8">
        <w:rPr>
          <w:rFonts w:ascii="Arial" w:hAnsi="Arial" w:cs="Arial"/>
        </w:rPr>
        <w:t>mas</w:t>
      </w:r>
      <w:proofErr w:type="spellEnd"/>
      <w:r w:rsidRPr="001621C8">
        <w:rPr>
          <w:rFonts w:ascii="Arial" w:hAnsi="Arial" w:cs="Arial"/>
        </w:rPr>
        <w:t xml:space="preserve"> </w:t>
      </w:r>
      <w:r w:rsidR="00813852" w:rsidRPr="001621C8">
        <w:rPr>
          <w:rFonts w:ascii="Arial" w:hAnsi="Arial" w:cs="Arial"/>
        </w:rPr>
        <w:t>jóvenes</w:t>
      </w:r>
      <w:r w:rsidRPr="001621C8">
        <w:rPr>
          <w:rFonts w:ascii="Arial" w:hAnsi="Arial" w:cs="Arial"/>
        </w:rPr>
        <w:t xml:space="preserve">. Aunque el desempeño de tareas auditivas complejas como la </w:t>
      </w:r>
      <w:r w:rsidR="00813852" w:rsidRPr="001621C8">
        <w:rPr>
          <w:rFonts w:ascii="Arial" w:hAnsi="Arial" w:cs="Arial"/>
        </w:rPr>
        <w:t>discriminación</w:t>
      </w:r>
      <w:r w:rsidRPr="001621C8">
        <w:rPr>
          <w:rFonts w:ascii="Arial" w:hAnsi="Arial" w:cs="Arial"/>
        </w:rPr>
        <w:t xml:space="preserve"> en ruido, puede requerir un mayor tiempo de </w:t>
      </w:r>
      <w:r w:rsidR="00813852" w:rsidRPr="001621C8">
        <w:rPr>
          <w:rFonts w:ascii="Arial" w:hAnsi="Arial" w:cs="Arial"/>
        </w:rPr>
        <w:t>rehabilitación</w:t>
      </w:r>
      <w:r w:rsidRPr="001621C8">
        <w:rPr>
          <w:rFonts w:ascii="Arial" w:hAnsi="Arial" w:cs="Arial"/>
        </w:rPr>
        <w:t xml:space="preserve"> a medida que aumenta la edad. Algunos estudios sugieren que esto se debe a una fase de adaptación que se hace </w:t>
      </w:r>
      <w:proofErr w:type="spellStart"/>
      <w:r w:rsidRPr="001621C8">
        <w:rPr>
          <w:rFonts w:ascii="Arial" w:hAnsi="Arial" w:cs="Arial"/>
        </w:rPr>
        <w:t>mas</w:t>
      </w:r>
      <w:proofErr w:type="spellEnd"/>
      <w:r w:rsidRPr="001621C8">
        <w:rPr>
          <w:rFonts w:ascii="Arial" w:hAnsi="Arial" w:cs="Arial"/>
        </w:rPr>
        <w:t xml:space="preserve"> prolongada y que es inherente al procesamiento cognitivo y asociativo central </w:t>
      </w:r>
      <w:proofErr w:type="spellStart"/>
      <w:r w:rsidRPr="001621C8">
        <w:rPr>
          <w:rFonts w:ascii="Arial" w:hAnsi="Arial" w:cs="Arial"/>
        </w:rPr>
        <w:t>mas</w:t>
      </w:r>
      <w:proofErr w:type="spellEnd"/>
      <w:r w:rsidRPr="001621C8">
        <w:rPr>
          <w:rFonts w:ascii="Arial" w:hAnsi="Arial" w:cs="Arial"/>
        </w:rPr>
        <w:t xml:space="preserve"> lento relacionado con la edad (</w:t>
      </w:r>
      <w:proofErr w:type="spellStart"/>
      <w:proofErr w:type="gramStart"/>
      <w:r w:rsidRPr="001621C8">
        <w:rPr>
          <w:rFonts w:ascii="Arial" w:hAnsi="Arial" w:cs="Arial"/>
        </w:rPr>
        <w:t>Tremblay</w:t>
      </w:r>
      <w:proofErr w:type="spellEnd"/>
      <w:r w:rsidRPr="001621C8">
        <w:rPr>
          <w:rFonts w:ascii="Arial" w:hAnsi="Arial" w:cs="Arial"/>
        </w:rPr>
        <w:t xml:space="preserve"> ,</w:t>
      </w:r>
      <w:proofErr w:type="gramEnd"/>
      <w:r w:rsidRPr="001621C8">
        <w:rPr>
          <w:rFonts w:ascii="Arial" w:hAnsi="Arial" w:cs="Arial"/>
        </w:rPr>
        <w:t xml:space="preserve"> 2003; </w:t>
      </w:r>
      <w:proofErr w:type="spellStart"/>
      <w:r w:rsidRPr="001621C8">
        <w:rPr>
          <w:rFonts w:ascii="Arial" w:hAnsi="Arial" w:cs="Arial"/>
        </w:rPr>
        <w:t>Boettcher</w:t>
      </w:r>
      <w:proofErr w:type="spellEnd"/>
      <w:r w:rsidRPr="001621C8">
        <w:rPr>
          <w:rFonts w:ascii="Arial" w:hAnsi="Arial" w:cs="Arial"/>
        </w:rPr>
        <w:t xml:space="preserve">, 2002). </w:t>
      </w:r>
    </w:p>
    <w:p w14:paraId="7320BD4B" w14:textId="77777777" w:rsidR="00E50C09" w:rsidRPr="001621C8" w:rsidRDefault="00E50C09" w:rsidP="00E50C09">
      <w:pPr>
        <w:jc w:val="both"/>
        <w:rPr>
          <w:rFonts w:ascii="Arial" w:hAnsi="Arial" w:cs="Arial"/>
        </w:rPr>
      </w:pPr>
    </w:p>
    <w:p w14:paraId="4A0AE480" w14:textId="38FF071E" w:rsidR="00E50C09" w:rsidRPr="001621C8" w:rsidRDefault="00E50C09" w:rsidP="00E50C09">
      <w:pPr>
        <w:jc w:val="both"/>
        <w:rPr>
          <w:rFonts w:ascii="Arial" w:hAnsi="Arial" w:cs="Arial"/>
        </w:rPr>
      </w:pPr>
      <w:r w:rsidRPr="001621C8">
        <w:rPr>
          <w:rFonts w:ascii="Arial" w:hAnsi="Arial" w:cs="Arial"/>
        </w:rPr>
        <w:t xml:space="preserve">Nuestro estudio proporciona evidencia para sugerir un excelente beneficio del IC en pacientes mayores de 65 años, con una </w:t>
      </w:r>
      <w:r w:rsidR="00813852" w:rsidRPr="001621C8">
        <w:rPr>
          <w:rFonts w:ascii="Arial" w:hAnsi="Arial" w:cs="Arial"/>
        </w:rPr>
        <w:t>mejoría</w:t>
      </w:r>
      <w:r w:rsidRPr="001621C8">
        <w:rPr>
          <w:rFonts w:ascii="Arial" w:hAnsi="Arial" w:cs="Arial"/>
        </w:rPr>
        <w:t xml:space="preserve"> significativa en la </w:t>
      </w:r>
      <w:r w:rsidR="00813852" w:rsidRPr="001621C8">
        <w:rPr>
          <w:rFonts w:ascii="Arial" w:hAnsi="Arial" w:cs="Arial"/>
        </w:rPr>
        <w:t>discriminación</w:t>
      </w:r>
      <w:r w:rsidRPr="001621C8">
        <w:rPr>
          <w:rFonts w:ascii="Arial" w:hAnsi="Arial" w:cs="Arial"/>
        </w:rPr>
        <w:t xml:space="preserve"> del habla, determinada por pruebas de </w:t>
      </w:r>
      <w:r w:rsidR="00813852" w:rsidRPr="001621C8">
        <w:rPr>
          <w:rFonts w:ascii="Arial" w:hAnsi="Arial" w:cs="Arial"/>
        </w:rPr>
        <w:t>discriminación</w:t>
      </w:r>
      <w:r w:rsidRPr="001621C8">
        <w:rPr>
          <w:rFonts w:ascii="Arial" w:hAnsi="Arial" w:cs="Arial"/>
        </w:rPr>
        <w:t xml:space="preserve"> del lenguaje en contexto abierto y cerrado, con resultados </w:t>
      </w:r>
      <w:proofErr w:type="spellStart"/>
      <w:r w:rsidRPr="001621C8">
        <w:rPr>
          <w:rFonts w:ascii="Arial" w:hAnsi="Arial" w:cs="Arial"/>
        </w:rPr>
        <w:t>aun</w:t>
      </w:r>
      <w:proofErr w:type="spellEnd"/>
      <w:r w:rsidRPr="001621C8">
        <w:rPr>
          <w:rFonts w:ascii="Arial" w:hAnsi="Arial" w:cs="Arial"/>
        </w:rPr>
        <w:t xml:space="preserve"> </w:t>
      </w:r>
      <w:proofErr w:type="spellStart"/>
      <w:proofErr w:type="gramStart"/>
      <w:r w:rsidRPr="001621C8">
        <w:rPr>
          <w:rFonts w:ascii="Arial" w:hAnsi="Arial" w:cs="Arial"/>
        </w:rPr>
        <w:t>mas</w:t>
      </w:r>
      <w:proofErr w:type="spellEnd"/>
      <w:proofErr w:type="gramEnd"/>
      <w:r w:rsidRPr="001621C8">
        <w:rPr>
          <w:rFonts w:ascii="Arial" w:hAnsi="Arial" w:cs="Arial"/>
        </w:rPr>
        <w:t xml:space="preserve"> favorables a </w:t>
      </w:r>
      <w:r w:rsidR="00813852" w:rsidRPr="001621C8">
        <w:rPr>
          <w:rFonts w:ascii="Arial" w:hAnsi="Arial" w:cs="Arial"/>
        </w:rPr>
        <w:t>través</w:t>
      </w:r>
      <w:r w:rsidRPr="001621C8">
        <w:rPr>
          <w:rFonts w:ascii="Arial" w:hAnsi="Arial" w:cs="Arial"/>
        </w:rPr>
        <w:t xml:space="preserve"> del tiempo.  Por lo tanto, hemos confirmado la importancia de la cirugía de IC en pacientes adultos mayores, y su beneficio al evitar déficits cognitivos resultantes del aislamiento social. En nuestra experiencia hemos concluido que la discriminación del lenguaje en usuarios ancianos mejora a </w:t>
      </w:r>
      <w:r w:rsidR="00813852" w:rsidRPr="001621C8">
        <w:rPr>
          <w:rFonts w:ascii="Arial" w:hAnsi="Arial" w:cs="Arial"/>
        </w:rPr>
        <w:t>través</w:t>
      </w:r>
      <w:r w:rsidRPr="001621C8">
        <w:rPr>
          <w:rFonts w:ascii="Arial" w:hAnsi="Arial" w:cs="Arial"/>
        </w:rPr>
        <w:t xml:space="preserve"> del tiempo.</w:t>
      </w:r>
    </w:p>
    <w:p w14:paraId="1EECDEE4" w14:textId="77777777" w:rsidR="00E50C09" w:rsidRPr="001621C8" w:rsidRDefault="00E50C09" w:rsidP="00E50C09">
      <w:pPr>
        <w:jc w:val="both"/>
        <w:rPr>
          <w:rFonts w:ascii="Arial" w:hAnsi="Arial" w:cs="Arial"/>
          <w:lang w:val="es-ES"/>
        </w:rPr>
      </w:pPr>
    </w:p>
    <w:p w14:paraId="002F82E2" w14:textId="77777777" w:rsidR="00E50C09" w:rsidRPr="001621C8" w:rsidRDefault="00E50C09" w:rsidP="00E50C09">
      <w:pPr>
        <w:jc w:val="both"/>
        <w:rPr>
          <w:rFonts w:ascii="Arial" w:hAnsi="Arial" w:cs="Arial"/>
          <w:lang w:val="es-ES"/>
        </w:rPr>
      </w:pPr>
      <w:r w:rsidRPr="001621C8">
        <w:rPr>
          <w:rFonts w:ascii="Arial" w:hAnsi="Arial" w:cs="Arial"/>
          <w:lang w:val="es-ES"/>
        </w:rPr>
        <w:t xml:space="preserve">Se requieren estudios  prospectivos con mayor tamaño de muestra, que permitan valorar no solo resultados en las pruebas audiológicas sino también el impacto de la calidad de vida, el </w:t>
      </w:r>
      <w:r>
        <w:rPr>
          <w:rFonts w:ascii="Arial" w:hAnsi="Arial" w:cs="Arial"/>
          <w:lang w:val="es-ES"/>
        </w:rPr>
        <w:t>riesgo</w:t>
      </w:r>
      <w:r w:rsidRPr="001621C8">
        <w:rPr>
          <w:rFonts w:ascii="Arial" w:hAnsi="Arial" w:cs="Arial"/>
          <w:lang w:val="es-ES"/>
        </w:rPr>
        <w:t xml:space="preserve"> y beneficios del implante coclear. </w:t>
      </w:r>
    </w:p>
    <w:p w14:paraId="50D38C81" w14:textId="77777777" w:rsidR="00E50C09" w:rsidRPr="003F2AD8" w:rsidRDefault="00E50C09" w:rsidP="00E50C09">
      <w:pPr>
        <w:pStyle w:val="Ttulo1"/>
        <w:rPr>
          <w:rFonts w:ascii="Arial" w:hAnsi="Arial" w:cs="Arial"/>
          <w:color w:val="auto"/>
          <w:sz w:val="24"/>
          <w:szCs w:val="24"/>
          <w:lang w:val="en-US"/>
        </w:rPr>
      </w:pPr>
      <w:proofErr w:type="spellStart"/>
      <w:r w:rsidRPr="003F2AD8">
        <w:rPr>
          <w:rFonts w:ascii="Arial" w:hAnsi="Arial" w:cs="Arial"/>
          <w:color w:val="auto"/>
          <w:sz w:val="24"/>
          <w:szCs w:val="24"/>
          <w:lang w:val="en-US"/>
        </w:rPr>
        <w:t>Referencias</w:t>
      </w:r>
      <w:proofErr w:type="spellEnd"/>
    </w:p>
    <w:p w14:paraId="045B0960" w14:textId="77777777" w:rsidR="00E50C09" w:rsidRPr="003F2AD8" w:rsidRDefault="00E50C09" w:rsidP="00E50C09">
      <w:pPr>
        <w:rPr>
          <w:lang w:val="en-US"/>
        </w:rPr>
      </w:pPr>
    </w:p>
    <w:p w14:paraId="5EC20A67"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E50C09">
        <w:rPr>
          <w:rFonts w:ascii="Arial" w:hAnsi="Arial" w:cs="Arial"/>
          <w:lang w:val="es-ES"/>
        </w:rPr>
        <w:fldChar w:fldCharType="begin" w:fldLock="1"/>
      </w:r>
      <w:r w:rsidRPr="003F2AD8">
        <w:rPr>
          <w:rFonts w:ascii="Arial" w:hAnsi="Arial" w:cs="Arial"/>
          <w:lang w:val="en-US"/>
        </w:rPr>
        <w:instrText xml:space="preserve">ADDIN Mendeley Bibliography CSL_BIBLIOGRAPHY </w:instrText>
      </w:r>
      <w:r w:rsidRPr="00E50C09">
        <w:rPr>
          <w:rFonts w:ascii="Arial" w:hAnsi="Arial" w:cs="Arial"/>
          <w:lang w:val="es-ES"/>
        </w:rPr>
        <w:fldChar w:fldCharType="separate"/>
      </w:r>
      <w:r w:rsidRPr="003F2AD8">
        <w:rPr>
          <w:rFonts w:ascii="Arial" w:eastAsia="Times New Roman" w:hAnsi="Arial" w:cs="Arial"/>
          <w:noProof/>
          <w:lang w:val="en-US"/>
        </w:rPr>
        <w:t xml:space="preserve">1. </w:t>
      </w:r>
      <w:r w:rsidRPr="003F2AD8">
        <w:rPr>
          <w:rFonts w:ascii="Arial" w:eastAsia="Times New Roman" w:hAnsi="Arial" w:cs="Arial"/>
          <w:noProof/>
          <w:lang w:val="en-US"/>
        </w:rPr>
        <w:tab/>
        <w:t xml:space="preserve">Mathers C, Smith A, Concha M. </w:t>
      </w:r>
      <w:r w:rsidRPr="003F2AD8">
        <w:rPr>
          <w:rFonts w:ascii="Arial" w:eastAsia="Times New Roman" w:hAnsi="Arial" w:cs="Arial"/>
          <w:i/>
          <w:iCs/>
          <w:noProof/>
          <w:lang w:val="en-US"/>
        </w:rPr>
        <w:t>Global Burden of Hearing Loss in the Year 2000</w:t>
      </w:r>
      <w:r w:rsidRPr="003F2AD8">
        <w:rPr>
          <w:rFonts w:ascii="Arial" w:eastAsia="Times New Roman" w:hAnsi="Arial" w:cs="Arial"/>
          <w:noProof/>
          <w:lang w:val="en-US"/>
        </w:rPr>
        <w:t>. Geneve; 2000.</w:t>
      </w:r>
    </w:p>
    <w:p w14:paraId="5515ED94" w14:textId="7BF9DC02"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2. </w:t>
      </w:r>
      <w:r w:rsidRPr="003F2AD8">
        <w:rPr>
          <w:rFonts w:ascii="Arial" w:eastAsia="Times New Roman" w:hAnsi="Arial" w:cs="Arial"/>
          <w:noProof/>
          <w:lang w:val="en-US"/>
        </w:rPr>
        <w:tab/>
        <w:t>World Health Organization. WHO global estimates on prevalence of hearing loss. doi:10.1002/2014GB005021.</w:t>
      </w:r>
    </w:p>
    <w:p w14:paraId="454830A4"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3. </w:t>
      </w:r>
      <w:r w:rsidRPr="003F2AD8">
        <w:rPr>
          <w:rFonts w:ascii="Arial" w:eastAsia="Times New Roman" w:hAnsi="Arial" w:cs="Arial"/>
          <w:noProof/>
          <w:lang w:val="en-US"/>
        </w:rPr>
        <w:tab/>
        <w:t>World Health Organization. Deafness and hearing loss. Fact Sheet. http://www.who.int/mediacentre/factsheets/fs300/en/. Published 2017. Accessed May 15, 2017.</w:t>
      </w:r>
    </w:p>
    <w:p w14:paraId="7D7ED04D"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4. </w:t>
      </w:r>
      <w:r w:rsidRPr="003F2AD8">
        <w:rPr>
          <w:rFonts w:ascii="Arial" w:eastAsia="Times New Roman" w:hAnsi="Arial" w:cs="Arial"/>
          <w:noProof/>
          <w:lang w:val="en-US"/>
        </w:rPr>
        <w:tab/>
        <w:t xml:space="preserve">World Health Organization. Hearing loss in persons 65 years and older based on WHO global estimates on prevalence of hearing loss. WHO </w:t>
      </w:r>
      <w:r w:rsidRPr="003F2AD8">
        <w:rPr>
          <w:rFonts w:ascii="Arial" w:eastAsia="Times New Roman" w:hAnsi="Arial" w:cs="Arial"/>
          <w:noProof/>
          <w:lang w:val="en-US"/>
        </w:rPr>
        <w:lastRenderedPageBreak/>
        <w:t>report. http://www.who.int/pbd/deafness/news/GE_65years.pdf. Published 2012. Accessed May 15, 2017.</w:t>
      </w:r>
    </w:p>
    <w:p w14:paraId="050A1A2E"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5. </w:t>
      </w:r>
      <w:r w:rsidRPr="003F2AD8">
        <w:rPr>
          <w:rFonts w:ascii="Arial" w:eastAsia="Times New Roman" w:hAnsi="Arial" w:cs="Arial"/>
          <w:noProof/>
          <w:lang w:val="en-US"/>
        </w:rPr>
        <w:tab/>
        <w:t xml:space="preserve">Lamb-OBE B, Raeve-PhD L De, Archbold-PhD S. Adult Cochlear Implantation: The Belgian experience. </w:t>
      </w:r>
      <w:r w:rsidRPr="003F2AD8">
        <w:rPr>
          <w:rFonts w:ascii="Arial" w:eastAsia="Times New Roman" w:hAnsi="Arial" w:cs="Arial"/>
          <w:i/>
          <w:iCs/>
          <w:noProof/>
          <w:lang w:val="en-US"/>
        </w:rPr>
        <w:t>OniciBe</w:t>
      </w:r>
      <w:r w:rsidRPr="003F2AD8">
        <w:rPr>
          <w:rFonts w:ascii="Arial" w:eastAsia="Times New Roman" w:hAnsi="Arial" w:cs="Arial"/>
          <w:noProof/>
          <w:lang w:val="en-US"/>
        </w:rPr>
        <w:t>. http://www.onici.be/userfiles/files/20042015 Adult Cochlear Implantation-The Belgian Experience, final.pdf.</w:t>
      </w:r>
    </w:p>
    <w:p w14:paraId="6F9B0218"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6. </w:t>
      </w:r>
      <w:r w:rsidRPr="003F2AD8">
        <w:rPr>
          <w:rFonts w:ascii="Arial" w:eastAsia="Times New Roman" w:hAnsi="Arial" w:cs="Arial"/>
          <w:noProof/>
          <w:lang w:val="en-US"/>
        </w:rPr>
        <w:tab/>
        <w:t xml:space="preserve">Alice B, Silvia M, Laura G, Patrizia T, Roberto B. Cochlear implantation in the elderly: surgical and hearing outcomes. </w:t>
      </w:r>
      <w:r w:rsidRPr="003F2AD8">
        <w:rPr>
          <w:rFonts w:ascii="Arial" w:eastAsia="Times New Roman" w:hAnsi="Arial" w:cs="Arial"/>
          <w:i/>
          <w:iCs/>
          <w:noProof/>
          <w:lang w:val="en-US"/>
        </w:rPr>
        <w:t>BMC Surg</w:t>
      </w:r>
      <w:r w:rsidRPr="003F2AD8">
        <w:rPr>
          <w:rFonts w:ascii="Arial" w:eastAsia="Times New Roman" w:hAnsi="Arial" w:cs="Arial"/>
          <w:noProof/>
          <w:lang w:val="en-US"/>
        </w:rPr>
        <w:t>. 2013;13(Suppl 2):S1. doi:10.1186/1471-2482-13-S2-S1.</w:t>
      </w:r>
    </w:p>
    <w:p w14:paraId="28AC3314"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7. </w:t>
      </w:r>
      <w:r w:rsidRPr="003F2AD8">
        <w:rPr>
          <w:rFonts w:ascii="Arial" w:eastAsia="Times New Roman" w:hAnsi="Arial" w:cs="Arial"/>
          <w:noProof/>
          <w:lang w:val="en-US"/>
        </w:rPr>
        <w:tab/>
        <w:t xml:space="preserve">Walling AD, Dickson GMGM. Hearing loss in older adults. </w:t>
      </w:r>
      <w:r w:rsidRPr="003F2AD8">
        <w:rPr>
          <w:rFonts w:ascii="Arial" w:eastAsia="Times New Roman" w:hAnsi="Arial" w:cs="Arial"/>
          <w:i/>
          <w:iCs/>
          <w:noProof/>
          <w:lang w:val="en-US"/>
        </w:rPr>
        <w:t>Am Fam Physician</w:t>
      </w:r>
      <w:r w:rsidRPr="003F2AD8">
        <w:rPr>
          <w:rFonts w:ascii="Arial" w:eastAsia="Times New Roman" w:hAnsi="Arial" w:cs="Arial"/>
          <w:noProof/>
          <w:lang w:val="en-US"/>
        </w:rPr>
        <w:t>. 2012;85(12):1150-1156. http://www.cochlear.com/wps/wcm/connect/uk/for-professionals.</w:t>
      </w:r>
    </w:p>
    <w:p w14:paraId="71305084"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8. </w:t>
      </w:r>
      <w:r w:rsidRPr="003F2AD8">
        <w:rPr>
          <w:rFonts w:ascii="Arial" w:eastAsia="Times New Roman" w:hAnsi="Arial" w:cs="Arial"/>
          <w:noProof/>
          <w:lang w:val="en-US"/>
        </w:rPr>
        <w:tab/>
        <w:t xml:space="preserve">Phan NT, McKenzie J-L, Huang L, Whitfield B, Chang A. Diagnosis and management of hearing loss in elderly patients. </w:t>
      </w:r>
      <w:r w:rsidRPr="003F2AD8">
        <w:rPr>
          <w:rFonts w:ascii="Arial" w:eastAsia="Times New Roman" w:hAnsi="Arial" w:cs="Arial"/>
          <w:i/>
          <w:iCs/>
          <w:noProof/>
          <w:lang w:val="en-US"/>
        </w:rPr>
        <w:t>Aust Fam Physician</w:t>
      </w:r>
      <w:r w:rsidRPr="003F2AD8">
        <w:rPr>
          <w:rFonts w:ascii="Arial" w:eastAsia="Times New Roman" w:hAnsi="Arial" w:cs="Arial"/>
          <w:noProof/>
          <w:lang w:val="en-US"/>
        </w:rPr>
        <w:t>. 2016;45(6):366-369. http://www.ncbi.nlm.nih.gov/pubmed/27622223.</w:t>
      </w:r>
    </w:p>
    <w:p w14:paraId="658DD861"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9. </w:t>
      </w:r>
      <w:r w:rsidRPr="003F2AD8">
        <w:rPr>
          <w:rFonts w:ascii="Arial" w:eastAsia="Times New Roman" w:hAnsi="Arial" w:cs="Arial"/>
          <w:noProof/>
          <w:lang w:val="en-US"/>
        </w:rPr>
        <w:tab/>
        <w:t>Investigation O. Improvement of Cognitive Function After Cochlear Implantation in Elderly Patients. 2017;141(5):442-450. doi:10.1001/jamaoto.2015.129.</w:t>
      </w:r>
    </w:p>
    <w:p w14:paraId="0DB2E7F8"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10. </w:t>
      </w:r>
      <w:r w:rsidRPr="003F2AD8">
        <w:rPr>
          <w:rFonts w:ascii="Arial" w:eastAsia="Times New Roman" w:hAnsi="Arial" w:cs="Arial"/>
          <w:noProof/>
          <w:lang w:val="en-US"/>
        </w:rPr>
        <w:tab/>
        <w:t xml:space="preserve">Yang Z, Cosetti M. Safety and outcomes of cochlear implantation in the elderly: A review of recent literature. </w:t>
      </w:r>
      <w:r w:rsidRPr="003F2AD8">
        <w:rPr>
          <w:rFonts w:ascii="Arial" w:eastAsia="Times New Roman" w:hAnsi="Arial" w:cs="Arial"/>
          <w:i/>
          <w:iCs/>
          <w:noProof/>
          <w:lang w:val="en-US"/>
        </w:rPr>
        <w:t>J Otol</w:t>
      </w:r>
      <w:r w:rsidRPr="003F2AD8">
        <w:rPr>
          <w:rFonts w:ascii="Arial" w:eastAsia="Times New Roman" w:hAnsi="Arial" w:cs="Arial"/>
          <w:noProof/>
          <w:lang w:val="en-US"/>
        </w:rPr>
        <w:t>. 2016;11(1):1-6. doi:10.1016/j.joto.2016.03.004.</w:t>
      </w:r>
    </w:p>
    <w:p w14:paraId="2379C9B2"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11. </w:t>
      </w:r>
      <w:r w:rsidRPr="003F2AD8">
        <w:rPr>
          <w:rFonts w:ascii="Arial" w:eastAsia="Times New Roman" w:hAnsi="Arial" w:cs="Arial"/>
          <w:noProof/>
          <w:lang w:val="en-US"/>
        </w:rPr>
        <w:tab/>
        <w:t xml:space="preserve">Connell SS, Balkany TJ. Cochlear Implants. </w:t>
      </w:r>
      <w:r w:rsidRPr="003F2AD8">
        <w:rPr>
          <w:rFonts w:ascii="Arial" w:eastAsia="Times New Roman" w:hAnsi="Arial" w:cs="Arial"/>
          <w:i/>
          <w:iCs/>
          <w:noProof/>
          <w:lang w:val="en-US"/>
        </w:rPr>
        <w:t>Clin Geriatr Med</w:t>
      </w:r>
      <w:r w:rsidRPr="003F2AD8">
        <w:rPr>
          <w:rFonts w:ascii="Arial" w:eastAsia="Times New Roman" w:hAnsi="Arial" w:cs="Arial"/>
          <w:noProof/>
          <w:lang w:val="en-US"/>
        </w:rPr>
        <w:t>. 2006;22(3):677-686. doi:10.1016/j.cger.2006.04.003.</w:t>
      </w:r>
    </w:p>
    <w:p w14:paraId="123B78C6"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12. </w:t>
      </w:r>
      <w:r w:rsidRPr="003F2AD8">
        <w:rPr>
          <w:rFonts w:ascii="Arial" w:eastAsia="Times New Roman" w:hAnsi="Arial" w:cs="Arial"/>
          <w:noProof/>
          <w:lang w:val="en-US"/>
        </w:rPr>
        <w:tab/>
        <w:t xml:space="preserve">Ramos Á, Guerra-Jiménez G, Rodriguez C, Borkoski S, Falcón JC, Perez D. Cochlear implants in adults over 60: A study of communicative benefits and the impact on quality of life. </w:t>
      </w:r>
      <w:r w:rsidRPr="003F2AD8">
        <w:rPr>
          <w:rFonts w:ascii="Arial" w:eastAsia="Times New Roman" w:hAnsi="Arial" w:cs="Arial"/>
          <w:i/>
          <w:iCs/>
          <w:noProof/>
          <w:lang w:val="en-US"/>
        </w:rPr>
        <w:t>Cochlear Implants Int</w:t>
      </w:r>
      <w:r w:rsidRPr="003F2AD8">
        <w:rPr>
          <w:rFonts w:ascii="Arial" w:eastAsia="Times New Roman" w:hAnsi="Arial" w:cs="Arial"/>
          <w:noProof/>
          <w:lang w:val="en-US"/>
        </w:rPr>
        <w:t>. 2013;14(5):241-245. doi:10.1179/1754762812Y.0000000028.</w:t>
      </w:r>
    </w:p>
    <w:p w14:paraId="0E9505DF"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13. </w:t>
      </w:r>
      <w:r w:rsidRPr="003F2AD8">
        <w:rPr>
          <w:rFonts w:ascii="Arial" w:eastAsia="Times New Roman" w:hAnsi="Arial" w:cs="Arial"/>
          <w:noProof/>
          <w:lang w:val="en-US"/>
        </w:rPr>
        <w:tab/>
        <w:t xml:space="preserve">Firszt JB, Holden LK, Reeder RM, Cowdrey L, King S. Cochlear implantation in adults with asymmetric hearing loss. </w:t>
      </w:r>
      <w:r w:rsidRPr="003F2AD8">
        <w:rPr>
          <w:rFonts w:ascii="Arial" w:eastAsia="Times New Roman" w:hAnsi="Arial" w:cs="Arial"/>
          <w:i/>
          <w:iCs/>
          <w:noProof/>
          <w:lang w:val="en-US"/>
        </w:rPr>
        <w:t>Ear Hear</w:t>
      </w:r>
      <w:r w:rsidRPr="003F2AD8">
        <w:rPr>
          <w:rFonts w:ascii="Arial" w:eastAsia="Times New Roman" w:hAnsi="Arial" w:cs="Arial"/>
          <w:noProof/>
          <w:lang w:val="en-US"/>
        </w:rPr>
        <w:t>. 2008;33(4):521-533. doi:10.1097/AUD.0b013e31824b9dfc.</w:t>
      </w:r>
    </w:p>
    <w:p w14:paraId="060EE97F"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14. </w:t>
      </w:r>
      <w:r w:rsidRPr="003F2AD8">
        <w:rPr>
          <w:rFonts w:ascii="Arial" w:eastAsia="Times New Roman" w:hAnsi="Arial" w:cs="Arial"/>
          <w:noProof/>
          <w:lang w:val="en-US"/>
        </w:rPr>
        <w:tab/>
        <w:t xml:space="preserve">Lachowska M, Pastuszka A, Glinka P, Niemczyk K. Is cochlear implantation a good treatment method for profoundly deafened elderly? </w:t>
      </w:r>
      <w:r w:rsidRPr="003F2AD8">
        <w:rPr>
          <w:rFonts w:ascii="Arial" w:eastAsia="Times New Roman" w:hAnsi="Arial" w:cs="Arial"/>
          <w:i/>
          <w:iCs/>
          <w:noProof/>
          <w:lang w:val="en-US"/>
        </w:rPr>
        <w:t>Clin Interv Aging</w:t>
      </w:r>
      <w:r w:rsidRPr="003F2AD8">
        <w:rPr>
          <w:rFonts w:ascii="Arial" w:eastAsia="Times New Roman" w:hAnsi="Arial" w:cs="Arial"/>
          <w:noProof/>
          <w:lang w:val="en-US"/>
        </w:rPr>
        <w:t>. 2013;8:1339-1346. doi:10.2147/CIA.S50698.</w:t>
      </w:r>
    </w:p>
    <w:p w14:paraId="05206A6F"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15. </w:t>
      </w:r>
      <w:r w:rsidRPr="003F2AD8">
        <w:rPr>
          <w:rFonts w:ascii="Arial" w:eastAsia="Times New Roman" w:hAnsi="Arial" w:cs="Arial"/>
          <w:noProof/>
          <w:lang w:val="en-US"/>
        </w:rPr>
        <w:tab/>
        <w:t xml:space="preserve">Clark JH, Yeagle J, Ed M, et al. Cochlear Implant rehabilitation in Older Adults: Literature Review and Proposal of a Conceptual Framework. </w:t>
      </w:r>
      <w:r w:rsidRPr="003F2AD8">
        <w:rPr>
          <w:rFonts w:ascii="Arial" w:eastAsia="Times New Roman" w:hAnsi="Arial" w:cs="Arial"/>
          <w:i/>
          <w:iCs/>
          <w:noProof/>
          <w:lang w:val="en-US"/>
        </w:rPr>
        <w:t>J Am Geriatr Soc</w:t>
      </w:r>
      <w:r w:rsidRPr="003F2AD8">
        <w:rPr>
          <w:rFonts w:ascii="Arial" w:eastAsia="Times New Roman" w:hAnsi="Arial" w:cs="Arial"/>
          <w:noProof/>
          <w:lang w:val="en-US"/>
        </w:rPr>
        <w:t>. 2012;60(10):1936-1945. doi:10.1111/j.1532-5415.2012.04150.x.Cochlear.</w:t>
      </w:r>
    </w:p>
    <w:p w14:paraId="479FC7C4" w14:textId="77777777" w:rsidR="00E50C09" w:rsidRPr="00342B26" w:rsidRDefault="00E50C09" w:rsidP="00E50C09">
      <w:pPr>
        <w:widowControl w:val="0"/>
        <w:autoSpaceDE w:val="0"/>
        <w:autoSpaceDN w:val="0"/>
        <w:adjustRightInd w:val="0"/>
        <w:ind w:left="640" w:hanging="640"/>
        <w:jc w:val="both"/>
        <w:rPr>
          <w:rFonts w:ascii="Arial" w:eastAsia="Times New Roman" w:hAnsi="Arial" w:cs="Arial"/>
          <w:noProof/>
          <w:lang w:val="es-ES"/>
        </w:rPr>
      </w:pPr>
      <w:r w:rsidRPr="003F2AD8">
        <w:rPr>
          <w:rFonts w:ascii="Arial" w:eastAsia="Times New Roman" w:hAnsi="Arial" w:cs="Arial"/>
          <w:noProof/>
          <w:lang w:val="en-US"/>
        </w:rPr>
        <w:t xml:space="preserve">16. </w:t>
      </w:r>
      <w:r w:rsidRPr="003F2AD8">
        <w:rPr>
          <w:rFonts w:ascii="Arial" w:eastAsia="Times New Roman" w:hAnsi="Arial" w:cs="Arial"/>
          <w:noProof/>
          <w:lang w:val="en-US"/>
        </w:rPr>
        <w:tab/>
        <w:t xml:space="preserve">Wong DJY, Moran M, O’Leary SJ. Outcomes After Cochlear Implantation in the Very Elderly. </w:t>
      </w:r>
      <w:r w:rsidRPr="00342B26">
        <w:rPr>
          <w:rFonts w:ascii="Arial" w:eastAsia="Times New Roman" w:hAnsi="Arial" w:cs="Arial"/>
          <w:i/>
          <w:iCs/>
          <w:noProof/>
          <w:lang w:val="es-ES"/>
        </w:rPr>
        <w:t>Otol Neurotol</w:t>
      </w:r>
      <w:r w:rsidRPr="00342B26">
        <w:rPr>
          <w:rFonts w:ascii="Arial" w:eastAsia="Times New Roman" w:hAnsi="Arial" w:cs="Arial"/>
          <w:noProof/>
          <w:lang w:val="es-ES"/>
        </w:rPr>
        <w:t>. 2016;37(1):46-51. doi:10.1097/MAO.0000000000000920.</w:t>
      </w:r>
    </w:p>
    <w:p w14:paraId="57BF80D2"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42B26">
        <w:rPr>
          <w:rFonts w:ascii="Arial" w:eastAsia="Times New Roman" w:hAnsi="Arial" w:cs="Arial"/>
          <w:noProof/>
          <w:lang w:val="es-ES"/>
        </w:rPr>
        <w:t xml:space="preserve">17. </w:t>
      </w:r>
      <w:r w:rsidRPr="00342B26">
        <w:rPr>
          <w:rFonts w:ascii="Arial" w:eastAsia="Times New Roman" w:hAnsi="Arial" w:cs="Arial"/>
          <w:noProof/>
          <w:lang w:val="es-ES"/>
        </w:rPr>
        <w:tab/>
        <w:t xml:space="preserve">Bogotá S De, Peñaranda A, Garcia JM, et al. </w:t>
      </w:r>
      <w:r w:rsidRPr="003F2AD8">
        <w:rPr>
          <w:rFonts w:ascii="Arial" w:eastAsia="Times New Roman" w:hAnsi="Arial" w:cs="Arial"/>
          <w:noProof/>
          <w:lang w:val="en-US"/>
        </w:rPr>
        <w:t xml:space="preserve">Auditory Gain , Quality of Life , and Audiological Benefits in Bone-Anchored Hearing Device Users in Fundación. </w:t>
      </w:r>
      <w:r w:rsidRPr="003F2AD8">
        <w:rPr>
          <w:rFonts w:ascii="Arial" w:eastAsia="Times New Roman" w:hAnsi="Arial" w:cs="Arial"/>
          <w:i/>
          <w:iCs/>
          <w:noProof/>
          <w:lang w:val="en-US"/>
        </w:rPr>
        <w:t>Int J Otolaryngol Head Neck Surgery,</w:t>
      </w:r>
      <w:r w:rsidRPr="003F2AD8">
        <w:rPr>
          <w:rFonts w:ascii="Arial" w:eastAsia="Times New Roman" w:hAnsi="Arial" w:cs="Arial"/>
          <w:noProof/>
          <w:lang w:val="en-US"/>
        </w:rPr>
        <w:t>. 2016;5(March):44-53.</w:t>
      </w:r>
    </w:p>
    <w:p w14:paraId="68BDD13A"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18. </w:t>
      </w:r>
      <w:r w:rsidRPr="003F2AD8">
        <w:rPr>
          <w:rFonts w:ascii="Arial" w:eastAsia="Times New Roman" w:hAnsi="Arial" w:cs="Arial"/>
          <w:noProof/>
          <w:lang w:val="en-US"/>
        </w:rPr>
        <w:tab/>
        <w:t xml:space="preserve">Chisolm TH, Johnson CE, Danhauer JL, et al. A systematic review of health-related quality of life and hearing aids: final report of the American Academy of Audiology Task Force On the Health-Related Quality of Life Benefits of Amplification in Adults. </w:t>
      </w:r>
      <w:r w:rsidRPr="003F2AD8">
        <w:rPr>
          <w:rFonts w:ascii="Arial" w:eastAsia="Times New Roman" w:hAnsi="Arial" w:cs="Arial"/>
          <w:i/>
          <w:iCs/>
          <w:noProof/>
          <w:lang w:val="en-US"/>
        </w:rPr>
        <w:t>J Am Acad Audiol</w:t>
      </w:r>
      <w:r w:rsidRPr="003F2AD8">
        <w:rPr>
          <w:rFonts w:ascii="Arial" w:eastAsia="Times New Roman" w:hAnsi="Arial" w:cs="Arial"/>
          <w:noProof/>
          <w:lang w:val="en-US"/>
        </w:rPr>
        <w:t>. 2007;18(2):151-183. http://www.ncbi.nlm.nih.gov/pubmed/17402301.</w:t>
      </w:r>
    </w:p>
    <w:p w14:paraId="55108F36" w14:textId="77777777" w:rsidR="00E50C09" w:rsidRPr="003F2AD8" w:rsidRDefault="00E50C09" w:rsidP="00040652">
      <w:pPr>
        <w:widowControl w:val="0"/>
        <w:autoSpaceDE w:val="0"/>
        <w:autoSpaceDN w:val="0"/>
        <w:adjustRightInd w:val="0"/>
        <w:ind w:left="709" w:hanging="640"/>
        <w:jc w:val="both"/>
        <w:rPr>
          <w:rFonts w:ascii="Arial" w:eastAsia="Times New Roman" w:hAnsi="Arial" w:cs="Arial"/>
          <w:noProof/>
          <w:lang w:val="en-US"/>
        </w:rPr>
      </w:pPr>
      <w:r w:rsidRPr="003F2AD8">
        <w:rPr>
          <w:rFonts w:ascii="Arial" w:eastAsia="Times New Roman" w:hAnsi="Arial" w:cs="Arial"/>
          <w:noProof/>
          <w:lang w:val="en-US"/>
        </w:rPr>
        <w:t xml:space="preserve">19. </w:t>
      </w:r>
      <w:r w:rsidRPr="003F2AD8">
        <w:rPr>
          <w:rFonts w:ascii="Arial" w:eastAsia="Times New Roman" w:hAnsi="Arial" w:cs="Arial"/>
          <w:noProof/>
          <w:lang w:val="en-US"/>
        </w:rPr>
        <w:tab/>
        <w:t xml:space="preserve">van Wieringen A, De Voecht K, Bosman AJ, Wouters J. Functional </w:t>
      </w:r>
      <w:r w:rsidRPr="003F2AD8">
        <w:rPr>
          <w:rFonts w:ascii="Arial" w:eastAsia="Times New Roman" w:hAnsi="Arial" w:cs="Arial"/>
          <w:noProof/>
          <w:lang w:val="en-US"/>
        </w:rPr>
        <w:lastRenderedPageBreak/>
        <w:t xml:space="preserve">benefit of the bone-anchored hearing aid with different auditory profiles: objective and subjective measures. </w:t>
      </w:r>
      <w:r w:rsidRPr="003F2AD8">
        <w:rPr>
          <w:rFonts w:ascii="Arial" w:eastAsia="Times New Roman" w:hAnsi="Arial" w:cs="Arial"/>
          <w:i/>
          <w:iCs/>
          <w:noProof/>
          <w:lang w:val="en-US"/>
        </w:rPr>
        <w:t>Clin Otolaryngol</w:t>
      </w:r>
      <w:r w:rsidRPr="003F2AD8">
        <w:rPr>
          <w:rFonts w:ascii="Arial" w:eastAsia="Times New Roman" w:hAnsi="Arial" w:cs="Arial"/>
          <w:noProof/>
          <w:lang w:val="en-US"/>
        </w:rPr>
        <w:t>. 2011;36(2):114-120. doi:10.1111/j.1749-4486.2011.02302.x.</w:t>
      </w:r>
    </w:p>
    <w:p w14:paraId="7752EF18"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20. </w:t>
      </w:r>
      <w:r w:rsidRPr="003F2AD8">
        <w:rPr>
          <w:rFonts w:ascii="Arial" w:eastAsia="Times New Roman" w:hAnsi="Arial" w:cs="Arial"/>
          <w:noProof/>
          <w:lang w:val="en-US"/>
        </w:rPr>
        <w:tab/>
        <w:t xml:space="preserve">Roberts DS, Lin HW, Herrmann BS, Lee DJ. Differential cochlear implant outcomes in older adults. </w:t>
      </w:r>
      <w:r w:rsidRPr="003F2AD8">
        <w:rPr>
          <w:rFonts w:ascii="Arial" w:eastAsia="Times New Roman" w:hAnsi="Arial" w:cs="Arial"/>
          <w:i/>
          <w:iCs/>
          <w:noProof/>
          <w:lang w:val="en-US"/>
        </w:rPr>
        <w:t>Laryngoscope</w:t>
      </w:r>
      <w:r w:rsidRPr="003F2AD8">
        <w:rPr>
          <w:rFonts w:ascii="Arial" w:eastAsia="Times New Roman" w:hAnsi="Arial" w:cs="Arial"/>
          <w:noProof/>
          <w:lang w:val="en-US"/>
        </w:rPr>
        <w:t>. 2013;123(8):1952-1956. doi:10.1002/lary.23676.</w:t>
      </w:r>
    </w:p>
    <w:p w14:paraId="43AB5BD0"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21. </w:t>
      </w:r>
      <w:r w:rsidRPr="003F2AD8">
        <w:rPr>
          <w:rFonts w:ascii="Arial" w:eastAsia="Times New Roman" w:hAnsi="Arial" w:cs="Arial"/>
          <w:noProof/>
          <w:lang w:val="en-US"/>
        </w:rPr>
        <w:tab/>
        <w:t xml:space="preserve">Friedland DR, Runge-Samuelson C, Baig H, Jensen J. Case-control analysis of cochlear implant performance in elderly patients. </w:t>
      </w:r>
      <w:r w:rsidRPr="003F2AD8">
        <w:rPr>
          <w:rFonts w:ascii="Arial" w:eastAsia="Times New Roman" w:hAnsi="Arial" w:cs="Arial"/>
          <w:i/>
          <w:iCs/>
          <w:noProof/>
          <w:lang w:val="en-US"/>
        </w:rPr>
        <w:t>Arch Otolaryngol Head Neck Surg</w:t>
      </w:r>
      <w:r w:rsidRPr="003F2AD8">
        <w:rPr>
          <w:rFonts w:ascii="Arial" w:eastAsia="Times New Roman" w:hAnsi="Arial" w:cs="Arial"/>
          <w:noProof/>
          <w:lang w:val="en-US"/>
        </w:rPr>
        <w:t>. 2010;136(5):432-438. doi:10.1001/archoto.2010.57.</w:t>
      </w:r>
    </w:p>
    <w:p w14:paraId="1FEE0A37"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22. </w:t>
      </w:r>
      <w:r w:rsidRPr="003F2AD8">
        <w:rPr>
          <w:rFonts w:ascii="Arial" w:eastAsia="Times New Roman" w:hAnsi="Arial" w:cs="Arial"/>
          <w:noProof/>
          <w:lang w:val="en-US"/>
        </w:rPr>
        <w:tab/>
        <w:t xml:space="preserve">Budenz CL, Cosetti MK, Coelho DH, et al. The effects of cochlear implantation on speech perception in older adults. </w:t>
      </w:r>
      <w:r w:rsidRPr="003F2AD8">
        <w:rPr>
          <w:rFonts w:ascii="Arial" w:eastAsia="Times New Roman" w:hAnsi="Arial" w:cs="Arial"/>
          <w:i/>
          <w:iCs/>
          <w:noProof/>
          <w:lang w:val="en-US"/>
        </w:rPr>
        <w:t>J Am Geriatr Soc</w:t>
      </w:r>
      <w:r w:rsidRPr="003F2AD8">
        <w:rPr>
          <w:rFonts w:ascii="Arial" w:eastAsia="Times New Roman" w:hAnsi="Arial" w:cs="Arial"/>
          <w:noProof/>
          <w:lang w:val="en-US"/>
        </w:rPr>
        <w:t>. 2011;59(3):446-453. doi:10.1111/j.1532-5415.2010.03310.x.</w:t>
      </w:r>
    </w:p>
    <w:p w14:paraId="0A0A96AF" w14:textId="77777777" w:rsidR="00E50C09" w:rsidRPr="003F2AD8" w:rsidRDefault="00E50C09" w:rsidP="00E50C09">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23. </w:t>
      </w:r>
      <w:r w:rsidRPr="003F2AD8">
        <w:rPr>
          <w:rFonts w:ascii="Arial" w:eastAsia="Times New Roman" w:hAnsi="Arial" w:cs="Arial"/>
          <w:noProof/>
          <w:lang w:val="en-US"/>
        </w:rPr>
        <w:tab/>
        <w:t xml:space="preserve">Lin FR, Chien WW, Li L, Clarrett DM, Niparko JK, Francis HW. Cochlear implantation in older adults. </w:t>
      </w:r>
      <w:r w:rsidRPr="003F2AD8">
        <w:rPr>
          <w:rFonts w:ascii="Arial" w:eastAsia="Times New Roman" w:hAnsi="Arial" w:cs="Arial"/>
          <w:i/>
          <w:iCs/>
          <w:noProof/>
          <w:lang w:val="en-US"/>
        </w:rPr>
        <w:t>Medicine (Baltimore)</w:t>
      </w:r>
      <w:r w:rsidRPr="003F2AD8">
        <w:rPr>
          <w:rFonts w:ascii="Arial" w:eastAsia="Times New Roman" w:hAnsi="Arial" w:cs="Arial"/>
          <w:noProof/>
          <w:lang w:val="en-US"/>
        </w:rPr>
        <w:t>. 2012;91(5):229-241. doi:10.1097/MD.0b013e31826b145a.</w:t>
      </w:r>
    </w:p>
    <w:p w14:paraId="53435B9D" w14:textId="77777777" w:rsidR="00E50C09" w:rsidRPr="00342B26" w:rsidRDefault="00E50C09" w:rsidP="00E50C09">
      <w:pPr>
        <w:widowControl w:val="0"/>
        <w:autoSpaceDE w:val="0"/>
        <w:autoSpaceDN w:val="0"/>
        <w:adjustRightInd w:val="0"/>
        <w:ind w:left="640" w:hanging="640"/>
        <w:jc w:val="both"/>
        <w:rPr>
          <w:rFonts w:ascii="Arial" w:eastAsia="Times New Roman" w:hAnsi="Arial" w:cs="Arial"/>
          <w:noProof/>
          <w:lang w:val="es-ES"/>
        </w:rPr>
      </w:pPr>
      <w:r w:rsidRPr="003F2AD8">
        <w:rPr>
          <w:rFonts w:ascii="Arial" w:eastAsia="Times New Roman" w:hAnsi="Arial" w:cs="Arial"/>
          <w:noProof/>
          <w:lang w:val="en-US"/>
        </w:rPr>
        <w:t xml:space="preserve">24. </w:t>
      </w:r>
      <w:r w:rsidRPr="003F2AD8">
        <w:rPr>
          <w:rFonts w:ascii="Arial" w:eastAsia="Times New Roman" w:hAnsi="Arial" w:cs="Arial"/>
          <w:noProof/>
          <w:lang w:val="en-US"/>
        </w:rPr>
        <w:tab/>
        <w:t xml:space="preserve">Miyagawa M, Nishio S-Y, Usami S-I. A Comprehensive Study on the Etiology of Patients Receiving Cochlear Implantation With Special Emphasis on Genetic Epidemiology. </w:t>
      </w:r>
      <w:r w:rsidRPr="00342B26">
        <w:rPr>
          <w:rFonts w:ascii="Arial" w:eastAsia="Times New Roman" w:hAnsi="Arial" w:cs="Arial"/>
          <w:i/>
          <w:iCs/>
          <w:noProof/>
          <w:lang w:val="es-ES"/>
        </w:rPr>
        <w:t>Otol Neurotol</w:t>
      </w:r>
      <w:r w:rsidRPr="00342B26">
        <w:rPr>
          <w:rFonts w:ascii="Arial" w:eastAsia="Times New Roman" w:hAnsi="Arial" w:cs="Arial"/>
          <w:noProof/>
          <w:lang w:val="es-ES"/>
        </w:rPr>
        <w:t>. 2016;37(2):e126-e134. doi:10.1097/MAO.0000000000000936.</w:t>
      </w:r>
    </w:p>
    <w:p w14:paraId="18735471" w14:textId="77777777" w:rsidR="00040652" w:rsidRPr="003F2AD8" w:rsidRDefault="00E50C09" w:rsidP="00040652">
      <w:pPr>
        <w:widowControl w:val="0"/>
        <w:autoSpaceDE w:val="0"/>
        <w:autoSpaceDN w:val="0"/>
        <w:adjustRightInd w:val="0"/>
        <w:ind w:left="640" w:hanging="640"/>
        <w:jc w:val="both"/>
        <w:rPr>
          <w:rFonts w:ascii="Arial" w:eastAsia="Times New Roman" w:hAnsi="Arial" w:cs="Arial"/>
          <w:noProof/>
          <w:lang w:val="en-US"/>
        </w:rPr>
      </w:pPr>
      <w:r w:rsidRPr="00342B26">
        <w:rPr>
          <w:rFonts w:ascii="Arial" w:eastAsia="Times New Roman" w:hAnsi="Arial" w:cs="Arial"/>
          <w:noProof/>
          <w:lang w:val="es-ES"/>
        </w:rPr>
        <w:t xml:space="preserve">25. </w:t>
      </w:r>
      <w:r w:rsidRPr="00342B26">
        <w:rPr>
          <w:rFonts w:ascii="Arial" w:eastAsia="Times New Roman" w:hAnsi="Arial" w:cs="Arial"/>
          <w:noProof/>
          <w:lang w:val="es-ES"/>
        </w:rPr>
        <w:tab/>
        <w:t xml:space="preserve">Chiesa Estomba CM, Rivera Schmitz T, Betances Reinoso FA, Dominguez Collado L, Estevez Garcia M, Lorenzo Lorenzo AI. </w:t>
      </w:r>
      <w:r w:rsidRPr="003F2AD8">
        <w:rPr>
          <w:rFonts w:ascii="Arial" w:eastAsia="Times New Roman" w:hAnsi="Arial" w:cs="Arial"/>
          <w:noProof/>
          <w:lang w:val="en-US"/>
        </w:rPr>
        <w:t xml:space="preserve">Complications after cochlear implantation in adult patients. 10-Year retrospective analysis of a tertiary academic centre. </w:t>
      </w:r>
      <w:r w:rsidRPr="003F2AD8">
        <w:rPr>
          <w:rFonts w:ascii="Arial" w:eastAsia="Times New Roman" w:hAnsi="Arial" w:cs="Arial"/>
          <w:i/>
          <w:iCs/>
          <w:noProof/>
          <w:lang w:val="en-US"/>
        </w:rPr>
        <w:t>Auris Nasus Larynx</w:t>
      </w:r>
      <w:r w:rsidRPr="003F2AD8">
        <w:rPr>
          <w:rFonts w:ascii="Arial" w:eastAsia="Times New Roman" w:hAnsi="Arial" w:cs="Arial"/>
          <w:noProof/>
          <w:lang w:val="en-US"/>
        </w:rPr>
        <w:t>. 2017;44(1):40-45</w:t>
      </w:r>
      <w:r w:rsidR="00342B26" w:rsidRPr="003F2AD8">
        <w:rPr>
          <w:rFonts w:ascii="Arial" w:eastAsia="Times New Roman" w:hAnsi="Arial" w:cs="Arial"/>
          <w:noProof/>
          <w:lang w:val="en-US"/>
        </w:rPr>
        <w:t>. doi:10.1016/j.anl.2016.03.012</w:t>
      </w:r>
    </w:p>
    <w:p w14:paraId="1277AEEB" w14:textId="77777777" w:rsidR="00040652" w:rsidRPr="003F2AD8" w:rsidRDefault="00040652" w:rsidP="00040652">
      <w:pPr>
        <w:widowControl w:val="0"/>
        <w:autoSpaceDE w:val="0"/>
        <w:autoSpaceDN w:val="0"/>
        <w:adjustRightInd w:val="0"/>
        <w:ind w:left="640" w:hanging="640"/>
        <w:jc w:val="both"/>
        <w:rPr>
          <w:rFonts w:ascii="Arial" w:eastAsia="Times New Roman" w:hAnsi="Arial" w:cs="Arial"/>
          <w:noProof/>
          <w:lang w:val="en-US"/>
        </w:rPr>
      </w:pPr>
      <w:r w:rsidRPr="003F2AD8">
        <w:rPr>
          <w:rFonts w:ascii="Arial" w:eastAsia="Times New Roman" w:hAnsi="Arial" w:cs="Arial"/>
          <w:noProof/>
          <w:lang w:val="en-US"/>
        </w:rPr>
        <w:t xml:space="preserve">26.  </w:t>
      </w:r>
      <w:r w:rsidR="00342B26">
        <w:rPr>
          <w:rFonts w:ascii="Arial" w:hAnsi="Arial" w:cs="Arial"/>
          <w:lang w:val="en-US"/>
        </w:rPr>
        <w:t xml:space="preserve"> </w:t>
      </w:r>
      <w:r w:rsidR="00342B26" w:rsidRPr="00342B26">
        <w:rPr>
          <w:rFonts w:ascii="Arial" w:hAnsi="Arial" w:cs="Arial"/>
          <w:lang w:val="en-US"/>
        </w:rPr>
        <w:t xml:space="preserve">Alice BSM, Laura G, Patrizia T, Roberto B. Cochlear implantation in the </w:t>
      </w:r>
      <w:r w:rsidR="00342B26">
        <w:rPr>
          <w:rFonts w:ascii="Arial" w:hAnsi="Arial" w:cs="Arial"/>
          <w:lang w:val="en-US"/>
        </w:rPr>
        <w:t xml:space="preserve"> </w:t>
      </w:r>
      <w:r w:rsidR="00342B26" w:rsidRPr="00342B26">
        <w:rPr>
          <w:rFonts w:ascii="Arial" w:hAnsi="Arial" w:cs="Arial"/>
          <w:lang w:val="en-US"/>
        </w:rPr>
        <w:t>elderly: surgical and hearing outcomes. BMC Surg 2013;13:S1.</w:t>
      </w:r>
    </w:p>
    <w:p w14:paraId="50F3F2BE" w14:textId="0B6378EB" w:rsidR="00040652" w:rsidRDefault="00040652" w:rsidP="00040652">
      <w:pPr>
        <w:widowControl w:val="0"/>
        <w:autoSpaceDE w:val="0"/>
        <w:autoSpaceDN w:val="0"/>
        <w:adjustRightInd w:val="0"/>
        <w:ind w:left="640" w:hanging="640"/>
        <w:jc w:val="both"/>
        <w:rPr>
          <w:rFonts w:ascii="Arial" w:hAnsi="Arial" w:cs="Arial"/>
          <w:lang w:val="en-US"/>
        </w:rPr>
      </w:pPr>
      <w:r>
        <w:rPr>
          <w:rFonts w:ascii="Arial" w:hAnsi="Arial" w:cs="Arial"/>
          <w:lang w:val="en-US"/>
        </w:rPr>
        <w:t xml:space="preserve">27.   </w:t>
      </w:r>
      <w:r w:rsidR="00342B26" w:rsidRPr="00342B26">
        <w:rPr>
          <w:rFonts w:ascii="Arial" w:hAnsi="Arial" w:cs="Arial"/>
          <w:lang w:val="en-US"/>
        </w:rPr>
        <w:t xml:space="preserve">Noble WTR, Dunn C, Bhullar N. Younger- and older-age adults, with </w:t>
      </w:r>
      <w:r w:rsidR="00342B26">
        <w:rPr>
          <w:rFonts w:ascii="Arial" w:hAnsi="Arial" w:cs="Arial"/>
          <w:lang w:val="en-US"/>
        </w:rPr>
        <w:t xml:space="preserve">  </w:t>
      </w:r>
      <w:r w:rsidRPr="003F2AD8">
        <w:rPr>
          <w:rFonts w:ascii="Arial" w:eastAsia="Times New Roman" w:hAnsi="Arial" w:cs="Arial"/>
          <w:noProof/>
          <w:lang w:val="en-US"/>
        </w:rPr>
        <w:t xml:space="preserve"> </w:t>
      </w:r>
      <w:r w:rsidR="00342B26" w:rsidRPr="00342B26">
        <w:rPr>
          <w:rFonts w:ascii="Arial" w:hAnsi="Arial" w:cs="Arial"/>
          <w:lang w:val="en-US"/>
        </w:rPr>
        <w:t xml:space="preserve">unilateral and bilateral cochlear implants: </w:t>
      </w:r>
      <w:r w:rsidR="00342B26">
        <w:rPr>
          <w:rFonts w:ascii="Arial" w:hAnsi="Arial" w:cs="Arial"/>
          <w:lang w:val="en-US"/>
        </w:rPr>
        <w:t>speech and spatial hearing self</w:t>
      </w:r>
      <w:r w:rsidRPr="003F2AD8">
        <w:rPr>
          <w:rFonts w:ascii="Arial" w:eastAsia="Times New Roman" w:hAnsi="Arial" w:cs="Arial"/>
          <w:noProof/>
          <w:lang w:val="en-US"/>
        </w:rPr>
        <w:t xml:space="preserve"> </w:t>
      </w:r>
      <w:r w:rsidR="00342B26" w:rsidRPr="00342B26">
        <w:rPr>
          <w:rFonts w:ascii="Arial" w:hAnsi="Arial" w:cs="Arial"/>
          <w:lang w:val="en-US"/>
        </w:rPr>
        <w:t>ratings and performa</w:t>
      </w:r>
      <w:r>
        <w:rPr>
          <w:rFonts w:ascii="Arial" w:hAnsi="Arial" w:cs="Arial"/>
          <w:lang w:val="en-US"/>
        </w:rPr>
        <w:t>nce. Otol Neurotol 2009;30:921</w:t>
      </w:r>
    </w:p>
    <w:p w14:paraId="0DD88E5B" w14:textId="77777777" w:rsidR="00383CA8" w:rsidRDefault="00040652" w:rsidP="00383CA8">
      <w:pPr>
        <w:widowControl w:val="0"/>
        <w:autoSpaceDE w:val="0"/>
        <w:autoSpaceDN w:val="0"/>
        <w:adjustRightInd w:val="0"/>
        <w:ind w:left="640" w:hanging="640"/>
        <w:jc w:val="both"/>
        <w:rPr>
          <w:rFonts w:ascii="Arial" w:hAnsi="Arial" w:cs="Arial"/>
          <w:lang w:val="en-US"/>
        </w:rPr>
      </w:pPr>
      <w:r w:rsidRPr="00383CA8">
        <w:rPr>
          <w:rFonts w:ascii="Arial" w:hAnsi="Arial" w:cs="Arial"/>
          <w:lang w:val="en-US"/>
        </w:rPr>
        <w:t xml:space="preserve">28.   </w:t>
      </w:r>
      <w:r w:rsidR="00342B26" w:rsidRPr="00383CA8">
        <w:rPr>
          <w:rFonts w:ascii="Arial" w:hAnsi="Arial" w:cs="Arial"/>
          <w:lang w:val="en-US"/>
        </w:rPr>
        <w:t xml:space="preserve">Friedland DR-SC, Baig H, Jensen J. Case-control analysis of cochlear </w:t>
      </w:r>
      <w:r w:rsidRPr="00383CA8">
        <w:rPr>
          <w:rFonts w:ascii="Arial" w:hAnsi="Arial" w:cs="Arial"/>
          <w:lang w:val="en-US"/>
        </w:rPr>
        <w:t xml:space="preserve">  </w:t>
      </w:r>
      <w:r w:rsidR="00342B26" w:rsidRPr="00383CA8">
        <w:rPr>
          <w:rFonts w:ascii="Arial" w:hAnsi="Arial" w:cs="Arial"/>
          <w:lang w:val="en-US"/>
        </w:rPr>
        <w:t xml:space="preserve">implan performance in elderly patients. Arch Otolaryngology Head Neck </w:t>
      </w:r>
      <w:r w:rsidRPr="00383CA8">
        <w:rPr>
          <w:rFonts w:ascii="Arial" w:hAnsi="Arial" w:cs="Arial"/>
          <w:lang w:val="en-US"/>
        </w:rPr>
        <w:t xml:space="preserve">  </w:t>
      </w:r>
      <w:r w:rsidR="00342B26" w:rsidRPr="00383CA8">
        <w:rPr>
          <w:rFonts w:ascii="Arial" w:hAnsi="Arial" w:cs="Arial"/>
          <w:lang w:val="en-US"/>
        </w:rPr>
        <w:t xml:space="preserve">2010;136:432–8. </w:t>
      </w:r>
    </w:p>
    <w:p w14:paraId="744BFFA8" w14:textId="77777777" w:rsidR="00383CA8" w:rsidRDefault="00383CA8" w:rsidP="00383CA8">
      <w:pPr>
        <w:widowControl w:val="0"/>
        <w:autoSpaceDE w:val="0"/>
        <w:autoSpaceDN w:val="0"/>
        <w:adjustRightInd w:val="0"/>
        <w:ind w:left="640" w:hanging="640"/>
        <w:jc w:val="both"/>
        <w:rPr>
          <w:rFonts w:ascii="Arial" w:hAnsi="Arial" w:cs="Arial"/>
          <w:lang w:val="en-US"/>
        </w:rPr>
      </w:pPr>
      <w:r>
        <w:rPr>
          <w:rFonts w:ascii="Arial" w:hAnsi="Arial" w:cs="Arial"/>
          <w:lang w:val="en-US"/>
        </w:rPr>
        <w:t xml:space="preserve">29.  </w:t>
      </w:r>
      <w:r w:rsidRPr="00383CA8">
        <w:rPr>
          <w:rFonts w:ascii="Arial" w:hAnsi="Arial" w:cs="Arial"/>
          <w:color w:val="231F20"/>
          <w:lang w:val="en-US"/>
        </w:rPr>
        <w:t>Haensel J, Ilgner J, Chen Y-S, Thuermer C, Westhofen M. Speech perception in elderly patients following cochlear implantation. Acta Otolaryngol 2005;125:1272–1276.</w:t>
      </w:r>
    </w:p>
    <w:p w14:paraId="0D82DADF" w14:textId="77777777" w:rsidR="00383CA8" w:rsidRDefault="00383CA8" w:rsidP="00383CA8">
      <w:pPr>
        <w:widowControl w:val="0"/>
        <w:autoSpaceDE w:val="0"/>
        <w:autoSpaceDN w:val="0"/>
        <w:adjustRightInd w:val="0"/>
        <w:ind w:left="640" w:hanging="640"/>
        <w:jc w:val="both"/>
        <w:rPr>
          <w:rFonts w:ascii="Arial" w:hAnsi="Arial" w:cs="Arial"/>
          <w:lang w:val="en-US"/>
        </w:rPr>
      </w:pPr>
      <w:r>
        <w:rPr>
          <w:rFonts w:ascii="Arial" w:hAnsi="Arial" w:cs="Arial"/>
          <w:lang w:val="en-US"/>
        </w:rPr>
        <w:t xml:space="preserve">30.  </w:t>
      </w:r>
      <w:r w:rsidRPr="00383CA8">
        <w:rPr>
          <w:rFonts w:ascii="Arial" w:hAnsi="Arial" w:cs="Arial"/>
          <w:color w:val="231F20"/>
          <w:lang w:val="en-US"/>
        </w:rPr>
        <w:t>van Zon A, Peters JPM, Stegeman I, Smit AL, Grolman W. Cochlear implantation for patients with single-sided deafness or asymmetrical hearing loss: a systematic review of the evidence. Otol Neurotol 2015;36: 209–219.</w:t>
      </w:r>
    </w:p>
    <w:p w14:paraId="4F77A76E" w14:textId="77777777" w:rsidR="00383CA8" w:rsidRDefault="00383CA8" w:rsidP="00383CA8">
      <w:pPr>
        <w:widowControl w:val="0"/>
        <w:autoSpaceDE w:val="0"/>
        <w:autoSpaceDN w:val="0"/>
        <w:adjustRightInd w:val="0"/>
        <w:ind w:left="640" w:hanging="640"/>
        <w:jc w:val="both"/>
        <w:rPr>
          <w:rFonts w:ascii="Arial" w:hAnsi="Arial" w:cs="Arial"/>
          <w:lang w:val="en-US"/>
        </w:rPr>
      </w:pPr>
      <w:r>
        <w:rPr>
          <w:rFonts w:ascii="Arial" w:hAnsi="Arial" w:cs="Arial"/>
          <w:lang w:val="en-US"/>
        </w:rPr>
        <w:t xml:space="preserve">31.   </w:t>
      </w:r>
      <w:r w:rsidRPr="00383CA8">
        <w:rPr>
          <w:rFonts w:ascii="Arial" w:hAnsi="Arial" w:cs="Arial"/>
          <w:color w:val="231F20"/>
          <w:lang w:val="en-US"/>
        </w:rPr>
        <w:t>Mulrow CD, Aguilar C, Endicott JE, et al. Association between hearing impairment and the quality of life of elderly individuals. J Am Geriatr Soc 1990;38:45–50.</w:t>
      </w:r>
      <w:r w:rsidRPr="00383CA8">
        <w:rPr>
          <w:rFonts w:ascii="Arial" w:hAnsi="Arial" w:cs="Arial"/>
          <w:lang w:val="en-US"/>
        </w:rPr>
        <w:t xml:space="preserve"> </w:t>
      </w:r>
    </w:p>
    <w:p w14:paraId="32F054D9" w14:textId="77777777" w:rsidR="004D2CDC" w:rsidRDefault="00383CA8" w:rsidP="004D2CDC">
      <w:pPr>
        <w:widowControl w:val="0"/>
        <w:autoSpaceDE w:val="0"/>
        <w:autoSpaceDN w:val="0"/>
        <w:adjustRightInd w:val="0"/>
        <w:ind w:left="640" w:hanging="640"/>
        <w:jc w:val="both"/>
        <w:rPr>
          <w:rFonts w:ascii="Arial" w:hAnsi="Arial" w:cs="Arial"/>
          <w:color w:val="231F20"/>
          <w:lang w:val="en-US"/>
        </w:rPr>
      </w:pPr>
      <w:r>
        <w:rPr>
          <w:rFonts w:ascii="Arial" w:hAnsi="Arial" w:cs="Arial"/>
          <w:lang w:val="en-US"/>
        </w:rPr>
        <w:t xml:space="preserve">32.    </w:t>
      </w:r>
      <w:r w:rsidRPr="00383CA8">
        <w:rPr>
          <w:rFonts w:ascii="Arial" w:hAnsi="Arial" w:cs="Arial"/>
          <w:color w:val="231F20"/>
          <w:lang w:val="en-US"/>
        </w:rPr>
        <w:t>Cloutier F, Bussieres R, Ferron P, Cote M. OCTO “Outcomes of cochlear implant for the octogenarians: audiologic nd quality-of-lif</w:t>
      </w:r>
      <w:r w:rsidR="004D2CDC">
        <w:rPr>
          <w:rFonts w:ascii="Arial" w:hAnsi="Arial" w:cs="Arial"/>
          <w:color w:val="231F20"/>
          <w:lang w:val="en-US"/>
        </w:rPr>
        <w:t>e”. Otol Neurotol 2014;35:22–28</w:t>
      </w:r>
    </w:p>
    <w:p w14:paraId="07D1A1AD" w14:textId="77777777" w:rsidR="004D2CDC" w:rsidRDefault="004D2CDC" w:rsidP="004D2CDC">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33.  </w:t>
      </w:r>
      <w:r w:rsidRPr="004D2CDC">
        <w:rPr>
          <w:rFonts w:ascii="Arial" w:hAnsi="Arial" w:cs="Arial"/>
          <w:color w:val="231F20"/>
          <w:lang w:val="en-US"/>
        </w:rPr>
        <w:t>van Zon A, Peters JPM, Stegeman I, Smit AL, Grolman W. Cochlear implantation for patients with single-sided deafness or asymmetrical hearing loss: a systematic review of the evidence. Otol Neurotol 2015;36: 209–219.</w:t>
      </w:r>
    </w:p>
    <w:p w14:paraId="55CD74A5" w14:textId="77777777" w:rsidR="004D2CDC" w:rsidRDefault="004D2CDC" w:rsidP="004D2CDC">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lastRenderedPageBreak/>
        <w:t xml:space="preserve">34.   </w:t>
      </w:r>
      <w:r w:rsidRPr="004D2CDC">
        <w:rPr>
          <w:rFonts w:ascii="Arial" w:hAnsi="Arial" w:cs="Arial"/>
          <w:color w:val="231F20"/>
          <w:lang w:val="en-US"/>
        </w:rPr>
        <w:t>Mulrow CD, Aguilar C, Endicott JE, et al. Association between hearing impairment and the quality of life of elderly individuals. J Am Geriatr Soc 1990;38:45–50.</w:t>
      </w:r>
      <w:r w:rsidRPr="004D2CDC">
        <w:rPr>
          <w:rFonts w:ascii="Arial" w:hAnsi="Arial" w:cs="Arial"/>
          <w:lang w:val="en-US"/>
        </w:rPr>
        <w:t xml:space="preserve"> </w:t>
      </w:r>
    </w:p>
    <w:p w14:paraId="0F4A3910" w14:textId="77777777" w:rsidR="004D2CDC" w:rsidRDefault="004D2CDC" w:rsidP="004D2CDC">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35.    </w:t>
      </w:r>
      <w:r w:rsidRPr="004D2CDC">
        <w:rPr>
          <w:rFonts w:ascii="Arial" w:hAnsi="Arial" w:cs="Arial"/>
          <w:color w:val="231F20"/>
          <w:lang w:val="en-US"/>
        </w:rPr>
        <w:t>Cloutier F, Bussieres R, Ferron P, Cote M. OCTO “Outcomes of cochlear implant for the octogenarians: audiologic nd quality-of-life”. Otol Neurotol 2014;35:22–28.</w:t>
      </w:r>
    </w:p>
    <w:p w14:paraId="0503D23A" w14:textId="77777777" w:rsidR="004D2CDC" w:rsidRDefault="004D2CDC" w:rsidP="004D2CDC">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36.    </w:t>
      </w:r>
      <w:r w:rsidRPr="004D2CDC">
        <w:rPr>
          <w:rFonts w:ascii="Arial" w:hAnsi="Arial" w:cs="Arial"/>
          <w:color w:val="231F20"/>
          <w:lang w:val="en-US"/>
        </w:rPr>
        <w:t>Tremblay KL, Piskosz M, Souza P. Effects of age and age-related hearing loss on the neural representation of speech cues. Clin Neurophysiol 2003;114:1332–1343.</w:t>
      </w:r>
    </w:p>
    <w:p w14:paraId="25FBCBA0" w14:textId="77777777" w:rsidR="004D2CDC" w:rsidRDefault="004D2CDC" w:rsidP="004D2CDC">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37.    </w:t>
      </w:r>
      <w:r w:rsidRPr="003F2AD8">
        <w:rPr>
          <w:rFonts w:ascii="Arial" w:hAnsi="Arial" w:cs="Arial"/>
          <w:color w:val="231F20"/>
          <w:lang w:val="en-US"/>
        </w:rPr>
        <w:t xml:space="preserve">Chan V, Tong M, Yue V, et al. </w:t>
      </w:r>
      <w:r w:rsidRPr="004D2CDC">
        <w:rPr>
          <w:rFonts w:ascii="Arial" w:hAnsi="Arial" w:cs="Arial"/>
          <w:color w:val="231F20"/>
          <w:lang w:val="en-US"/>
        </w:rPr>
        <w:t>Performance of older adult cochlear implant users in Hong Kong. Ear Hear 2007;28(suppl 2):52S–55S.</w:t>
      </w:r>
    </w:p>
    <w:p w14:paraId="55EC3F47" w14:textId="77777777" w:rsidR="00813852" w:rsidRDefault="004D2CDC" w:rsidP="00813852">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38.   </w:t>
      </w:r>
      <w:r w:rsidRPr="004D2CDC">
        <w:rPr>
          <w:rFonts w:ascii="Arial" w:hAnsi="Arial" w:cs="Arial"/>
          <w:color w:val="231F20"/>
          <w:lang w:val="en-US"/>
        </w:rPr>
        <w:t>Leung J, Wang N-Y, Yeagle JD, et al. Predictive models for cochlear implantation in elderly candidates. Arch Otolaryngol Head Neck Surg 2005;131:1049–1054.</w:t>
      </w:r>
    </w:p>
    <w:p w14:paraId="205F2329" w14:textId="77777777" w:rsidR="00813852" w:rsidRDefault="00813852" w:rsidP="00813852">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39.   </w:t>
      </w:r>
      <w:r w:rsidRPr="00813852">
        <w:rPr>
          <w:rFonts w:ascii="Arial" w:hAnsi="Arial" w:cs="Arial"/>
          <w:lang w:val="en-US"/>
        </w:rPr>
        <w:t>Katharina Rohloff, Mario Koopmann, Daniel Weiß, Claudia Rudack, and Eleftherios Savvas. Cochlear Implantation in the Elderly: Does Age Matter?. Otology &amp; Neurotology 38:54–59 _ 2016, Otology &amp; Neurotology, Inc.</w:t>
      </w:r>
    </w:p>
    <w:p w14:paraId="79568650" w14:textId="77777777" w:rsidR="00813852" w:rsidRDefault="00813852" w:rsidP="00813852">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40.  </w:t>
      </w:r>
      <w:r w:rsidRPr="00813852">
        <w:rPr>
          <w:rFonts w:ascii="Arial" w:hAnsi="Arial" w:cs="Arial"/>
          <w:lang w:val="en-US"/>
        </w:rPr>
        <w:t xml:space="preserve">Lenarz MSH, Joseph G, Bu¨chner A, Lenarz T. Cochlear implant performance in geriatric patients. Laryngoscope 2012;122:1361–5 </w:t>
      </w:r>
    </w:p>
    <w:p w14:paraId="57334B06" w14:textId="77777777" w:rsidR="00813852" w:rsidRDefault="00813852" w:rsidP="00813852">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41.   </w:t>
      </w:r>
      <w:r w:rsidRPr="00813852">
        <w:rPr>
          <w:rFonts w:ascii="Arial" w:hAnsi="Arial" w:cs="Arial"/>
          <w:lang w:val="en-US"/>
        </w:rPr>
        <w:t>Friedland DR-SC, Baig H, Jensen J. Case-control analysis of cochlear implan performance in elderly patients. Arch Otolaryngolog Head Neck 2010;136:432–8.</w:t>
      </w:r>
    </w:p>
    <w:p w14:paraId="6509DD6D" w14:textId="77777777" w:rsidR="00813852" w:rsidRDefault="00813852" w:rsidP="00813852">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42.    </w:t>
      </w:r>
      <w:r w:rsidRPr="00813852">
        <w:rPr>
          <w:rFonts w:ascii="Arial" w:hAnsi="Arial" w:cs="Arial"/>
          <w:lang w:val="en-US"/>
        </w:rPr>
        <w:t>C. Jolink 1† , H. W. Helleman 2†, E. van Spronsen 1, F. A. Ebbens 1, M. J. L. Ravesloot 1, W. A. Dreschler 2. The long-term results of speech perception in elderly cochlear implant users. Cochlear Implants International 2016 VOL. 17 NO. 3.</w:t>
      </w:r>
    </w:p>
    <w:p w14:paraId="747F5126" w14:textId="0167A7B9" w:rsidR="00813852" w:rsidRPr="00813852" w:rsidRDefault="00813852" w:rsidP="00813852">
      <w:pPr>
        <w:widowControl w:val="0"/>
        <w:autoSpaceDE w:val="0"/>
        <w:autoSpaceDN w:val="0"/>
        <w:adjustRightInd w:val="0"/>
        <w:ind w:left="640" w:hanging="640"/>
        <w:jc w:val="both"/>
        <w:rPr>
          <w:rFonts w:ascii="Arial" w:hAnsi="Arial" w:cs="Arial"/>
          <w:color w:val="231F20"/>
          <w:lang w:val="en-US"/>
        </w:rPr>
      </w:pPr>
      <w:r>
        <w:rPr>
          <w:rFonts w:ascii="Arial" w:hAnsi="Arial" w:cs="Arial"/>
          <w:color w:val="231F20"/>
          <w:lang w:val="en-US"/>
        </w:rPr>
        <w:t xml:space="preserve">43.    </w:t>
      </w:r>
      <w:r w:rsidRPr="00813852">
        <w:rPr>
          <w:rFonts w:ascii="Arial" w:hAnsi="Arial" w:cs="Arial"/>
          <w:lang w:val="en-US"/>
        </w:rPr>
        <w:t>Chatelin VKE, Driscoll C, Larky J, et al. Cochlear implant outcomes in the elderly. Otol Neurotol 2004;25:298–301.</w:t>
      </w:r>
    </w:p>
    <w:p w14:paraId="2E710133" w14:textId="77777777" w:rsidR="00383CA8" w:rsidRPr="00342B26" w:rsidRDefault="00383CA8" w:rsidP="00E50C09">
      <w:pPr>
        <w:widowControl w:val="0"/>
        <w:autoSpaceDE w:val="0"/>
        <w:autoSpaceDN w:val="0"/>
        <w:adjustRightInd w:val="0"/>
        <w:ind w:left="640" w:hanging="640"/>
        <w:jc w:val="both"/>
        <w:rPr>
          <w:rFonts w:ascii="Arial" w:hAnsi="Arial" w:cs="Arial"/>
          <w:noProof/>
        </w:rPr>
      </w:pPr>
    </w:p>
    <w:p w14:paraId="5ED5FD9A" w14:textId="77777777" w:rsidR="00E50C09" w:rsidRPr="00E50C09" w:rsidRDefault="00E50C09" w:rsidP="00E50C09">
      <w:pPr>
        <w:widowControl w:val="0"/>
        <w:autoSpaceDE w:val="0"/>
        <w:autoSpaceDN w:val="0"/>
        <w:adjustRightInd w:val="0"/>
        <w:ind w:left="640" w:hanging="640"/>
        <w:jc w:val="both"/>
        <w:rPr>
          <w:rFonts w:ascii="Arial" w:hAnsi="Arial" w:cs="Arial"/>
          <w:lang w:val="es-ES"/>
        </w:rPr>
      </w:pPr>
      <w:r w:rsidRPr="00E50C09">
        <w:rPr>
          <w:rFonts w:ascii="Arial" w:hAnsi="Arial" w:cs="Arial"/>
          <w:lang w:val="es-ES"/>
        </w:rPr>
        <w:fldChar w:fldCharType="end"/>
      </w:r>
    </w:p>
    <w:p w14:paraId="526EF115" w14:textId="77777777" w:rsidR="00E50C09" w:rsidRPr="00227D6A" w:rsidRDefault="00E50C09" w:rsidP="00E50C09">
      <w:pPr>
        <w:rPr>
          <w:lang w:val="es-ES"/>
        </w:rPr>
      </w:pPr>
    </w:p>
    <w:p w14:paraId="7309C277" w14:textId="77777777" w:rsidR="001A2B7F" w:rsidRDefault="001A2B7F" w:rsidP="00CD195B">
      <w:pPr>
        <w:rPr>
          <w:rFonts w:ascii="Arial" w:hAnsi="Arial" w:cs="Arial"/>
          <w:color w:val="000000"/>
          <w:lang w:val="es-ES"/>
        </w:rPr>
      </w:pPr>
    </w:p>
    <w:p w14:paraId="58763AFA" w14:textId="77777777" w:rsidR="001A2B7F" w:rsidRDefault="001A2B7F" w:rsidP="00CD195B">
      <w:pPr>
        <w:rPr>
          <w:rFonts w:ascii="Arial" w:hAnsi="Arial" w:cs="Arial"/>
          <w:color w:val="000000"/>
          <w:lang w:val="es-ES"/>
        </w:rPr>
      </w:pPr>
    </w:p>
    <w:p w14:paraId="4AC16A74" w14:textId="77777777" w:rsidR="001A2B7F" w:rsidRDefault="001A2B7F" w:rsidP="00CD195B">
      <w:pPr>
        <w:rPr>
          <w:rFonts w:ascii="Arial" w:hAnsi="Arial" w:cs="Arial"/>
          <w:color w:val="000000"/>
          <w:lang w:val="es-ES"/>
        </w:rPr>
      </w:pPr>
    </w:p>
    <w:p w14:paraId="791DB19D" w14:textId="77777777" w:rsidR="001A2B7F" w:rsidRDefault="001A2B7F" w:rsidP="00CD195B">
      <w:pPr>
        <w:rPr>
          <w:rFonts w:ascii="Arial" w:hAnsi="Arial" w:cs="Arial"/>
          <w:color w:val="000000"/>
          <w:lang w:val="es-ES"/>
        </w:rPr>
      </w:pPr>
    </w:p>
    <w:p w14:paraId="73593CC5" w14:textId="75AA4815" w:rsidR="00D534EC" w:rsidRDefault="00D534EC" w:rsidP="00CD195B">
      <w:pPr>
        <w:rPr>
          <w:rFonts w:ascii="Arial" w:eastAsia="Times New Roman" w:hAnsi="Arial" w:cs="Arial"/>
        </w:rPr>
      </w:pPr>
    </w:p>
    <w:p w14:paraId="209C31CF" w14:textId="232FA67F" w:rsidR="00FF228C" w:rsidRDefault="00D534EC" w:rsidP="00D534EC">
      <w:pPr>
        <w:tabs>
          <w:tab w:val="left" w:pos="1200"/>
        </w:tabs>
        <w:rPr>
          <w:rFonts w:ascii="Arial" w:eastAsia="Times New Roman" w:hAnsi="Arial" w:cs="Arial"/>
        </w:rPr>
      </w:pPr>
      <w:r>
        <w:rPr>
          <w:rFonts w:ascii="Arial" w:eastAsia="Times New Roman" w:hAnsi="Arial" w:cs="Arial"/>
        </w:rPr>
        <w:tab/>
      </w:r>
    </w:p>
    <w:p w14:paraId="761316DF" w14:textId="77777777" w:rsidR="00D534EC" w:rsidRDefault="00D534EC" w:rsidP="00D534EC">
      <w:pPr>
        <w:tabs>
          <w:tab w:val="left" w:pos="1200"/>
        </w:tabs>
        <w:rPr>
          <w:rFonts w:ascii="Arial" w:eastAsia="Times New Roman" w:hAnsi="Arial" w:cs="Arial"/>
        </w:rPr>
      </w:pPr>
    </w:p>
    <w:p w14:paraId="556166D1" w14:textId="77777777" w:rsidR="00D534EC" w:rsidRDefault="00D534EC" w:rsidP="00D534EC">
      <w:pPr>
        <w:tabs>
          <w:tab w:val="left" w:pos="1200"/>
        </w:tabs>
        <w:rPr>
          <w:rFonts w:ascii="Arial" w:eastAsia="Times New Roman" w:hAnsi="Arial" w:cs="Arial"/>
        </w:rPr>
      </w:pPr>
    </w:p>
    <w:p w14:paraId="14B238DE" w14:textId="77777777" w:rsidR="00D534EC" w:rsidRDefault="00D534EC" w:rsidP="00D534EC">
      <w:pPr>
        <w:tabs>
          <w:tab w:val="left" w:pos="1200"/>
        </w:tabs>
        <w:rPr>
          <w:rFonts w:ascii="Arial" w:eastAsia="Times New Roman" w:hAnsi="Arial" w:cs="Arial"/>
        </w:rPr>
      </w:pPr>
    </w:p>
    <w:p w14:paraId="143C676E" w14:textId="77777777" w:rsidR="00D534EC" w:rsidRDefault="00D534EC" w:rsidP="00D534EC">
      <w:pPr>
        <w:tabs>
          <w:tab w:val="left" w:pos="1200"/>
        </w:tabs>
        <w:rPr>
          <w:rFonts w:ascii="Arial" w:eastAsia="Times New Roman" w:hAnsi="Arial" w:cs="Arial"/>
        </w:rPr>
      </w:pPr>
    </w:p>
    <w:p w14:paraId="6C58A513" w14:textId="77777777" w:rsidR="00D534EC" w:rsidRDefault="00D534EC" w:rsidP="00D534EC">
      <w:pPr>
        <w:tabs>
          <w:tab w:val="left" w:pos="1200"/>
        </w:tabs>
        <w:rPr>
          <w:rFonts w:ascii="Arial" w:eastAsia="Times New Roman" w:hAnsi="Arial" w:cs="Arial"/>
        </w:rPr>
      </w:pPr>
    </w:p>
    <w:p w14:paraId="451B256D" w14:textId="77777777" w:rsidR="00D534EC" w:rsidRDefault="00D534EC" w:rsidP="00D534EC">
      <w:pPr>
        <w:tabs>
          <w:tab w:val="left" w:pos="1200"/>
        </w:tabs>
        <w:rPr>
          <w:rFonts w:ascii="Arial" w:eastAsia="Times New Roman" w:hAnsi="Arial" w:cs="Arial"/>
        </w:rPr>
      </w:pPr>
    </w:p>
    <w:p w14:paraId="76061E33" w14:textId="77777777" w:rsidR="00D534EC" w:rsidRPr="00D534EC" w:rsidRDefault="00D534EC" w:rsidP="00D534EC">
      <w:pPr>
        <w:tabs>
          <w:tab w:val="left" w:pos="1200"/>
        </w:tabs>
        <w:rPr>
          <w:rFonts w:ascii="Arial" w:eastAsia="Times New Roman" w:hAnsi="Arial" w:cs="Arial"/>
        </w:rPr>
      </w:pPr>
    </w:p>
    <w:sectPr w:rsidR="00D534EC" w:rsidRPr="00D534EC" w:rsidSect="008B02E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43CDA" w14:textId="77777777" w:rsidR="00572131" w:rsidRDefault="00572131" w:rsidP="00AD66D1">
      <w:r>
        <w:separator/>
      </w:r>
    </w:p>
  </w:endnote>
  <w:endnote w:type="continuationSeparator" w:id="0">
    <w:p w14:paraId="2CB1A15E" w14:textId="77777777" w:rsidR="00572131" w:rsidRDefault="00572131" w:rsidP="00AD66D1">
      <w:r>
        <w:continuationSeparator/>
      </w:r>
    </w:p>
  </w:endnote>
  <w:endnote w:id="1">
    <w:p w14:paraId="4FCD177F" w14:textId="77777777" w:rsidR="00572131" w:rsidRDefault="00572131" w:rsidP="00813852">
      <w:pPr>
        <w:autoSpaceDE w:val="0"/>
        <w:autoSpaceDN w:val="0"/>
        <w:adjustRightInd w:val="0"/>
        <w:jc w:val="both"/>
        <w:rPr>
          <w:rFonts w:ascii="Times New Roman" w:hAnsi="Times New Roman" w:cs="Times New Roman"/>
          <w:sz w:val="18"/>
          <w:szCs w:val="18"/>
          <w:lang w:val="en-US"/>
        </w:rPr>
      </w:pPr>
    </w:p>
    <w:p w14:paraId="0A0B3D34" w14:textId="77777777" w:rsidR="00572131" w:rsidRPr="00CA2E48" w:rsidRDefault="00572131" w:rsidP="00813852">
      <w:pPr>
        <w:autoSpaceDE w:val="0"/>
        <w:autoSpaceDN w:val="0"/>
        <w:adjustRightInd w:val="0"/>
        <w:jc w:val="both"/>
        <w:rPr>
          <w:rFonts w:ascii="Times New Roman" w:hAnsi="Times New Roman" w:cs="Times New Roman"/>
          <w:sz w:val="18"/>
          <w:szCs w:val="18"/>
          <w:lang w:val="en-US"/>
        </w:rPr>
      </w:pPr>
    </w:p>
  </w:endnote>
  <w:endnote w:id="2">
    <w:p w14:paraId="05A3F79D" w14:textId="62C1FF9A" w:rsidR="00572131" w:rsidRPr="00CA2E48" w:rsidRDefault="00572131" w:rsidP="00813852">
      <w:pPr>
        <w:widowControl w:val="0"/>
        <w:autoSpaceDE w:val="0"/>
        <w:autoSpaceDN w:val="0"/>
        <w:adjustRightInd w:val="0"/>
        <w:jc w:val="both"/>
        <w:rPr>
          <w:rFonts w:ascii="Times New Roman" w:hAnsi="Times New Roman" w:cs="Times New Roman"/>
          <w:sz w:val="18"/>
          <w:szCs w:val="18"/>
          <w:lang w:val="en-US"/>
        </w:rPr>
      </w:pPr>
    </w:p>
  </w:endnote>
  <w:endnote w:id="3">
    <w:p w14:paraId="7E5EF0C9" w14:textId="70AFA476" w:rsidR="00572131" w:rsidRPr="00CA2E48" w:rsidRDefault="00572131" w:rsidP="00813852">
      <w:pPr>
        <w:autoSpaceDE w:val="0"/>
        <w:autoSpaceDN w:val="0"/>
        <w:adjustRightInd w:val="0"/>
        <w:jc w:val="both"/>
        <w:rPr>
          <w:rFonts w:ascii="Times New Roman" w:hAnsi="Times New Roman" w:cs="Times New Roman"/>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DB3EA" w14:textId="77777777" w:rsidR="00572131" w:rsidRDefault="00572131" w:rsidP="00AD66D1">
      <w:r>
        <w:separator/>
      </w:r>
    </w:p>
  </w:footnote>
  <w:footnote w:type="continuationSeparator" w:id="0">
    <w:p w14:paraId="54797DD4" w14:textId="77777777" w:rsidR="00572131" w:rsidRDefault="00572131" w:rsidP="00AD66D1">
      <w:r>
        <w:continuationSeparator/>
      </w:r>
    </w:p>
  </w:footnote>
  <w:footnote w:id="1">
    <w:p w14:paraId="001B034F" w14:textId="317DC89E" w:rsidR="00572131" w:rsidRPr="0009217B" w:rsidRDefault="00572131" w:rsidP="00320BB6">
      <w:pPr>
        <w:widowControl w:val="0"/>
        <w:tabs>
          <w:tab w:val="left" w:pos="220"/>
          <w:tab w:val="left" w:pos="720"/>
        </w:tabs>
        <w:autoSpaceDE w:val="0"/>
        <w:autoSpaceDN w:val="0"/>
        <w:adjustRightInd w:val="0"/>
        <w:spacing w:after="240" w:line="240" w:lineRule="atLeast"/>
        <w:jc w:val="both"/>
      </w:pPr>
      <w:r>
        <w:rPr>
          <w:rStyle w:val="Refdenotaalpie"/>
        </w:rPr>
        <w:footnoteRef/>
      </w:r>
      <w:r>
        <w:rPr>
          <w:rFonts w:ascii="Times New Roman" w:hAnsi="Times New Roman" w:cs="Times New Roman"/>
          <w:sz w:val="22"/>
          <w:szCs w:val="22"/>
          <w:lang w:val="es-ES"/>
        </w:rPr>
        <w:t xml:space="preserve">Médico Otorrinolaringólogo y Otólogo, Jefe del servicio de Otorrinolaringóloga Hospital Universitario Clínica San </w:t>
      </w:r>
      <w:proofErr w:type="gramStart"/>
      <w:r>
        <w:rPr>
          <w:rFonts w:ascii="Times New Roman" w:hAnsi="Times New Roman" w:cs="Times New Roman"/>
          <w:sz w:val="22"/>
          <w:szCs w:val="22"/>
          <w:lang w:val="es-ES"/>
        </w:rPr>
        <w:t>Rafael  ,</w:t>
      </w:r>
      <w:proofErr w:type="gramEnd"/>
      <w:r>
        <w:rPr>
          <w:rFonts w:ascii="Times New Roman" w:hAnsi="Times New Roman" w:cs="Times New Roman"/>
          <w:sz w:val="22"/>
          <w:szCs w:val="22"/>
          <w:lang w:val="es-ES"/>
        </w:rPr>
        <w:t xml:space="preserve"> Universidad Militar Nueva Granda, Bogotá D.C , Colombia. </w:t>
      </w:r>
      <w:r>
        <w:rPr>
          <w:rFonts w:ascii="Times" w:hAnsi="Times" w:cs="Times"/>
          <w:lang w:val="es-ES"/>
        </w:rPr>
        <w:t> </w:t>
      </w:r>
    </w:p>
  </w:footnote>
  <w:footnote w:id="2">
    <w:p w14:paraId="5501FCD3" w14:textId="77777777" w:rsidR="0009217B" w:rsidRDefault="00572131" w:rsidP="00D534EC">
      <w:pPr>
        <w:widowControl w:val="0"/>
        <w:tabs>
          <w:tab w:val="left" w:pos="220"/>
          <w:tab w:val="left" w:pos="720"/>
        </w:tabs>
        <w:autoSpaceDE w:val="0"/>
        <w:autoSpaceDN w:val="0"/>
        <w:adjustRightInd w:val="0"/>
        <w:spacing w:after="240" w:line="240" w:lineRule="atLeast"/>
        <w:jc w:val="both"/>
        <w:rPr>
          <w:rFonts w:ascii="Times" w:hAnsi="Times" w:cs="Times"/>
          <w:lang w:val="es-ES"/>
        </w:rPr>
      </w:pPr>
      <w:r>
        <w:rPr>
          <w:rStyle w:val="Refdenotaalpie"/>
        </w:rPr>
        <w:footnoteRef/>
      </w:r>
      <w:r>
        <w:t xml:space="preserve"> </w:t>
      </w:r>
      <w:r>
        <w:rPr>
          <w:rFonts w:ascii="Times New Roman" w:hAnsi="Times New Roman" w:cs="Times New Roman"/>
          <w:sz w:val="22"/>
          <w:szCs w:val="22"/>
          <w:lang w:val="es-ES"/>
        </w:rPr>
        <w:t>Médico residente de cuarto</w:t>
      </w:r>
      <w:r w:rsidRPr="00AD66D1">
        <w:rPr>
          <w:rFonts w:ascii="Times New Roman" w:hAnsi="Times New Roman" w:cs="Times New Roman"/>
          <w:sz w:val="22"/>
          <w:szCs w:val="22"/>
          <w:lang w:val="es-ES"/>
        </w:rPr>
        <w:t xml:space="preserve"> año de </w:t>
      </w:r>
      <w:proofErr w:type="gramStart"/>
      <w:r>
        <w:rPr>
          <w:rFonts w:ascii="Times New Roman" w:hAnsi="Times New Roman" w:cs="Times New Roman"/>
          <w:sz w:val="22"/>
          <w:szCs w:val="22"/>
          <w:lang w:val="es-ES"/>
        </w:rPr>
        <w:t>Otorrinolaringología ,</w:t>
      </w:r>
      <w:proofErr w:type="gramEnd"/>
      <w:r>
        <w:rPr>
          <w:rFonts w:ascii="Times New Roman" w:hAnsi="Times New Roman" w:cs="Times New Roman"/>
          <w:sz w:val="22"/>
          <w:szCs w:val="22"/>
          <w:lang w:val="es-ES"/>
        </w:rPr>
        <w:t xml:space="preserve"> Universidad Militar Nueva Granda , Hospital Universitario Clínica San Rafael  , Bogotá D.C, Colombia. </w:t>
      </w:r>
      <w:r>
        <w:rPr>
          <w:rFonts w:ascii="Times" w:hAnsi="Times" w:cs="Times"/>
          <w:lang w:val="es-ES"/>
        </w:rPr>
        <w:t> </w:t>
      </w:r>
    </w:p>
    <w:p w14:paraId="790BD3ED" w14:textId="484D20F7" w:rsidR="00572131" w:rsidRPr="0009217B" w:rsidRDefault="00572131" w:rsidP="00D534EC">
      <w:pPr>
        <w:widowControl w:val="0"/>
        <w:tabs>
          <w:tab w:val="left" w:pos="220"/>
          <w:tab w:val="left" w:pos="720"/>
        </w:tabs>
        <w:autoSpaceDE w:val="0"/>
        <w:autoSpaceDN w:val="0"/>
        <w:adjustRightInd w:val="0"/>
        <w:spacing w:after="240" w:line="240" w:lineRule="atLeast"/>
        <w:jc w:val="both"/>
        <w:rPr>
          <w:rFonts w:ascii="Times" w:hAnsi="Times" w:cs="Times"/>
          <w:lang w:val="es-ES"/>
        </w:rPr>
      </w:pPr>
      <w:r>
        <w:rPr>
          <w:rStyle w:val="Refdenotaalpie"/>
        </w:rPr>
        <w:t>3</w:t>
      </w:r>
      <w:r>
        <w:t xml:space="preserve"> </w:t>
      </w:r>
      <w:r>
        <w:rPr>
          <w:rFonts w:ascii="Times New Roman" w:hAnsi="Times New Roman" w:cs="Times New Roman"/>
          <w:sz w:val="22"/>
          <w:szCs w:val="22"/>
          <w:lang w:val="es-ES"/>
        </w:rPr>
        <w:t xml:space="preserve">Médico </w:t>
      </w:r>
      <w:proofErr w:type="gramStart"/>
      <w:r>
        <w:rPr>
          <w:rFonts w:ascii="Times New Roman" w:hAnsi="Times New Roman" w:cs="Times New Roman"/>
          <w:sz w:val="22"/>
          <w:szCs w:val="22"/>
          <w:lang w:val="es-ES"/>
        </w:rPr>
        <w:t>Otorrinolaringólogo ,</w:t>
      </w:r>
      <w:proofErr w:type="gram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fellow</w:t>
      </w:r>
      <w:proofErr w:type="spellEnd"/>
      <w:r>
        <w:rPr>
          <w:rFonts w:ascii="Times New Roman" w:hAnsi="Times New Roman" w:cs="Times New Roman"/>
          <w:sz w:val="22"/>
          <w:szCs w:val="22"/>
          <w:lang w:val="es-ES"/>
        </w:rPr>
        <w:t xml:space="preserve"> de segundo año del programa de Otología  del Hospital Universitario Clínica San Rafael  , Universidad Militar Nueva Granda, Bogotá D.C , Colombia. </w:t>
      </w:r>
      <w:r>
        <w:rPr>
          <w:rFonts w:ascii="Times" w:hAnsi="Times" w:cs="Times"/>
          <w:lang w:val="es-ES"/>
        </w:rPr>
        <w:t> </w:t>
      </w:r>
    </w:p>
    <w:p w14:paraId="186D054E" w14:textId="115806DC" w:rsidR="00572131" w:rsidRPr="00451246" w:rsidRDefault="00572131" w:rsidP="00320BB6">
      <w:pPr>
        <w:widowControl w:val="0"/>
        <w:tabs>
          <w:tab w:val="left" w:pos="220"/>
          <w:tab w:val="left" w:pos="720"/>
        </w:tabs>
        <w:autoSpaceDE w:val="0"/>
        <w:autoSpaceDN w:val="0"/>
        <w:adjustRightInd w:val="0"/>
        <w:spacing w:after="240" w:line="240" w:lineRule="atLeast"/>
        <w:jc w:val="both"/>
        <w:rPr>
          <w:rFonts w:ascii="Times New Roman" w:hAnsi="Times New Roman" w:cs="Times New Roman"/>
          <w:sz w:val="22"/>
          <w:szCs w:val="22"/>
          <w:lang w:val="es-ES"/>
        </w:rPr>
      </w:pPr>
    </w:p>
    <w:p w14:paraId="784F999F" w14:textId="623286F4" w:rsidR="00572131" w:rsidRDefault="00572131">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0021B"/>
    <w:multiLevelType w:val="hybridMultilevel"/>
    <w:tmpl w:val="849CD086"/>
    <w:lvl w:ilvl="0" w:tplc="437C7454">
      <w:start w:val="1"/>
      <w:numFmt w:val="decimal"/>
      <w:lvlText w:val="%1."/>
      <w:lvlJc w:val="left"/>
      <w:pPr>
        <w:tabs>
          <w:tab w:val="num" w:pos="720"/>
        </w:tabs>
        <w:ind w:left="720" w:hanging="360"/>
      </w:pPr>
    </w:lvl>
    <w:lvl w:ilvl="1" w:tplc="44FE57F8" w:tentative="1">
      <w:start w:val="1"/>
      <w:numFmt w:val="decimal"/>
      <w:lvlText w:val="%2."/>
      <w:lvlJc w:val="left"/>
      <w:pPr>
        <w:tabs>
          <w:tab w:val="num" w:pos="1440"/>
        </w:tabs>
        <w:ind w:left="1440" w:hanging="360"/>
      </w:pPr>
    </w:lvl>
    <w:lvl w:ilvl="2" w:tplc="2BC0EEFA">
      <w:numFmt w:val="none"/>
      <w:lvlText w:val=""/>
      <w:lvlJc w:val="left"/>
      <w:pPr>
        <w:tabs>
          <w:tab w:val="num" w:pos="360"/>
        </w:tabs>
      </w:pPr>
    </w:lvl>
    <w:lvl w:ilvl="3" w:tplc="85766630" w:tentative="1">
      <w:start w:val="1"/>
      <w:numFmt w:val="decimal"/>
      <w:lvlText w:val="%4."/>
      <w:lvlJc w:val="left"/>
      <w:pPr>
        <w:tabs>
          <w:tab w:val="num" w:pos="2880"/>
        </w:tabs>
        <w:ind w:left="2880" w:hanging="360"/>
      </w:pPr>
    </w:lvl>
    <w:lvl w:ilvl="4" w:tplc="BC6E7E8E" w:tentative="1">
      <w:start w:val="1"/>
      <w:numFmt w:val="decimal"/>
      <w:lvlText w:val="%5."/>
      <w:lvlJc w:val="left"/>
      <w:pPr>
        <w:tabs>
          <w:tab w:val="num" w:pos="3600"/>
        </w:tabs>
        <w:ind w:left="3600" w:hanging="360"/>
      </w:pPr>
    </w:lvl>
    <w:lvl w:ilvl="5" w:tplc="9D1E29DE" w:tentative="1">
      <w:start w:val="1"/>
      <w:numFmt w:val="decimal"/>
      <w:lvlText w:val="%6."/>
      <w:lvlJc w:val="left"/>
      <w:pPr>
        <w:tabs>
          <w:tab w:val="num" w:pos="4320"/>
        </w:tabs>
        <w:ind w:left="4320" w:hanging="360"/>
      </w:pPr>
    </w:lvl>
    <w:lvl w:ilvl="6" w:tplc="8D3CA824" w:tentative="1">
      <w:start w:val="1"/>
      <w:numFmt w:val="decimal"/>
      <w:lvlText w:val="%7."/>
      <w:lvlJc w:val="left"/>
      <w:pPr>
        <w:tabs>
          <w:tab w:val="num" w:pos="5040"/>
        </w:tabs>
        <w:ind w:left="5040" w:hanging="360"/>
      </w:pPr>
    </w:lvl>
    <w:lvl w:ilvl="7" w:tplc="FC32978E" w:tentative="1">
      <w:start w:val="1"/>
      <w:numFmt w:val="decimal"/>
      <w:lvlText w:val="%8."/>
      <w:lvlJc w:val="left"/>
      <w:pPr>
        <w:tabs>
          <w:tab w:val="num" w:pos="5760"/>
        </w:tabs>
        <w:ind w:left="5760" w:hanging="360"/>
      </w:pPr>
    </w:lvl>
    <w:lvl w:ilvl="8" w:tplc="A7FA940C" w:tentative="1">
      <w:start w:val="1"/>
      <w:numFmt w:val="decimal"/>
      <w:lvlText w:val="%9."/>
      <w:lvlJc w:val="left"/>
      <w:pPr>
        <w:tabs>
          <w:tab w:val="num" w:pos="6480"/>
        </w:tabs>
        <w:ind w:left="6480" w:hanging="360"/>
      </w:pPr>
    </w:lvl>
  </w:abstractNum>
  <w:abstractNum w:abstractNumId="2">
    <w:nsid w:val="0B783E5B"/>
    <w:multiLevelType w:val="hybridMultilevel"/>
    <w:tmpl w:val="E04EA13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2C1FED"/>
    <w:multiLevelType w:val="hybridMultilevel"/>
    <w:tmpl w:val="145693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C83F8A"/>
    <w:multiLevelType w:val="hybridMultilevel"/>
    <w:tmpl w:val="9CEA67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222192"/>
    <w:multiLevelType w:val="hybridMultilevel"/>
    <w:tmpl w:val="0E2642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6B0327"/>
    <w:multiLevelType w:val="hybridMultilevel"/>
    <w:tmpl w:val="3300F9A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CB462DD"/>
    <w:multiLevelType w:val="hybridMultilevel"/>
    <w:tmpl w:val="1E608E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1545D30"/>
    <w:multiLevelType w:val="hybridMultilevel"/>
    <w:tmpl w:val="9D5A1E7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D04679"/>
    <w:multiLevelType w:val="hybridMultilevel"/>
    <w:tmpl w:val="AC48E15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DE4B2B"/>
    <w:multiLevelType w:val="hybridMultilevel"/>
    <w:tmpl w:val="0F1E4F1C"/>
    <w:lvl w:ilvl="0" w:tplc="4B22B040">
      <w:start w:val="1"/>
      <w:numFmt w:val="decimal"/>
      <w:lvlText w:val="%1."/>
      <w:lvlJc w:val="left"/>
      <w:pPr>
        <w:tabs>
          <w:tab w:val="num" w:pos="720"/>
        </w:tabs>
        <w:ind w:left="720" w:hanging="360"/>
      </w:pPr>
    </w:lvl>
    <w:lvl w:ilvl="1" w:tplc="1DD612C2" w:tentative="1">
      <w:start w:val="1"/>
      <w:numFmt w:val="decimal"/>
      <w:lvlText w:val="%2."/>
      <w:lvlJc w:val="left"/>
      <w:pPr>
        <w:tabs>
          <w:tab w:val="num" w:pos="1440"/>
        </w:tabs>
        <w:ind w:left="1440" w:hanging="360"/>
      </w:pPr>
    </w:lvl>
    <w:lvl w:ilvl="2" w:tplc="0944F19E" w:tentative="1">
      <w:start w:val="1"/>
      <w:numFmt w:val="decimal"/>
      <w:lvlText w:val="%3."/>
      <w:lvlJc w:val="left"/>
      <w:pPr>
        <w:tabs>
          <w:tab w:val="num" w:pos="2160"/>
        </w:tabs>
        <w:ind w:left="2160" w:hanging="360"/>
      </w:pPr>
    </w:lvl>
    <w:lvl w:ilvl="3" w:tplc="DFBE07C2" w:tentative="1">
      <w:start w:val="1"/>
      <w:numFmt w:val="decimal"/>
      <w:lvlText w:val="%4."/>
      <w:lvlJc w:val="left"/>
      <w:pPr>
        <w:tabs>
          <w:tab w:val="num" w:pos="2880"/>
        </w:tabs>
        <w:ind w:left="2880" w:hanging="360"/>
      </w:pPr>
    </w:lvl>
    <w:lvl w:ilvl="4" w:tplc="EF8EB82E" w:tentative="1">
      <w:start w:val="1"/>
      <w:numFmt w:val="decimal"/>
      <w:lvlText w:val="%5."/>
      <w:lvlJc w:val="left"/>
      <w:pPr>
        <w:tabs>
          <w:tab w:val="num" w:pos="3600"/>
        </w:tabs>
        <w:ind w:left="3600" w:hanging="360"/>
      </w:pPr>
    </w:lvl>
    <w:lvl w:ilvl="5" w:tplc="3F2E3828" w:tentative="1">
      <w:start w:val="1"/>
      <w:numFmt w:val="decimal"/>
      <w:lvlText w:val="%6."/>
      <w:lvlJc w:val="left"/>
      <w:pPr>
        <w:tabs>
          <w:tab w:val="num" w:pos="4320"/>
        </w:tabs>
        <w:ind w:left="4320" w:hanging="360"/>
      </w:pPr>
    </w:lvl>
    <w:lvl w:ilvl="6" w:tplc="C2084702" w:tentative="1">
      <w:start w:val="1"/>
      <w:numFmt w:val="decimal"/>
      <w:lvlText w:val="%7."/>
      <w:lvlJc w:val="left"/>
      <w:pPr>
        <w:tabs>
          <w:tab w:val="num" w:pos="5040"/>
        </w:tabs>
        <w:ind w:left="5040" w:hanging="360"/>
      </w:pPr>
    </w:lvl>
    <w:lvl w:ilvl="7" w:tplc="9594B57A" w:tentative="1">
      <w:start w:val="1"/>
      <w:numFmt w:val="decimal"/>
      <w:lvlText w:val="%8."/>
      <w:lvlJc w:val="left"/>
      <w:pPr>
        <w:tabs>
          <w:tab w:val="num" w:pos="5760"/>
        </w:tabs>
        <w:ind w:left="5760" w:hanging="360"/>
      </w:pPr>
    </w:lvl>
    <w:lvl w:ilvl="8" w:tplc="B0D43B32" w:tentative="1">
      <w:start w:val="1"/>
      <w:numFmt w:val="decimal"/>
      <w:lvlText w:val="%9."/>
      <w:lvlJc w:val="left"/>
      <w:pPr>
        <w:tabs>
          <w:tab w:val="num" w:pos="6480"/>
        </w:tabs>
        <w:ind w:left="6480" w:hanging="360"/>
      </w:pPr>
    </w:lvl>
  </w:abstractNum>
  <w:abstractNum w:abstractNumId="11">
    <w:nsid w:val="2A8F6D0C"/>
    <w:multiLevelType w:val="hybridMultilevel"/>
    <w:tmpl w:val="62E2FB6C"/>
    <w:lvl w:ilvl="0" w:tplc="156E9D8E">
      <w:start w:val="1"/>
      <w:numFmt w:val="bullet"/>
      <w:lvlText w:val="•"/>
      <w:lvlJc w:val="left"/>
      <w:pPr>
        <w:tabs>
          <w:tab w:val="num" w:pos="720"/>
        </w:tabs>
        <w:ind w:left="720" w:hanging="360"/>
      </w:pPr>
      <w:rPr>
        <w:rFonts w:ascii="Arial" w:hAnsi="Arial" w:hint="default"/>
      </w:rPr>
    </w:lvl>
    <w:lvl w:ilvl="1" w:tplc="E3F855B4" w:tentative="1">
      <w:start w:val="1"/>
      <w:numFmt w:val="bullet"/>
      <w:lvlText w:val="•"/>
      <w:lvlJc w:val="left"/>
      <w:pPr>
        <w:tabs>
          <w:tab w:val="num" w:pos="1440"/>
        </w:tabs>
        <w:ind w:left="1440" w:hanging="360"/>
      </w:pPr>
      <w:rPr>
        <w:rFonts w:ascii="Arial" w:hAnsi="Arial" w:hint="default"/>
      </w:rPr>
    </w:lvl>
    <w:lvl w:ilvl="2" w:tplc="3774DBB2" w:tentative="1">
      <w:start w:val="1"/>
      <w:numFmt w:val="bullet"/>
      <w:lvlText w:val="•"/>
      <w:lvlJc w:val="left"/>
      <w:pPr>
        <w:tabs>
          <w:tab w:val="num" w:pos="2160"/>
        </w:tabs>
        <w:ind w:left="2160" w:hanging="360"/>
      </w:pPr>
      <w:rPr>
        <w:rFonts w:ascii="Arial" w:hAnsi="Arial" w:hint="default"/>
      </w:rPr>
    </w:lvl>
    <w:lvl w:ilvl="3" w:tplc="CD62AEF6" w:tentative="1">
      <w:start w:val="1"/>
      <w:numFmt w:val="bullet"/>
      <w:lvlText w:val="•"/>
      <w:lvlJc w:val="left"/>
      <w:pPr>
        <w:tabs>
          <w:tab w:val="num" w:pos="2880"/>
        </w:tabs>
        <w:ind w:left="2880" w:hanging="360"/>
      </w:pPr>
      <w:rPr>
        <w:rFonts w:ascii="Arial" w:hAnsi="Arial" w:hint="default"/>
      </w:rPr>
    </w:lvl>
    <w:lvl w:ilvl="4" w:tplc="C130BF98" w:tentative="1">
      <w:start w:val="1"/>
      <w:numFmt w:val="bullet"/>
      <w:lvlText w:val="•"/>
      <w:lvlJc w:val="left"/>
      <w:pPr>
        <w:tabs>
          <w:tab w:val="num" w:pos="3600"/>
        </w:tabs>
        <w:ind w:left="3600" w:hanging="360"/>
      </w:pPr>
      <w:rPr>
        <w:rFonts w:ascii="Arial" w:hAnsi="Arial" w:hint="default"/>
      </w:rPr>
    </w:lvl>
    <w:lvl w:ilvl="5" w:tplc="9A66D1A2" w:tentative="1">
      <w:start w:val="1"/>
      <w:numFmt w:val="bullet"/>
      <w:lvlText w:val="•"/>
      <w:lvlJc w:val="left"/>
      <w:pPr>
        <w:tabs>
          <w:tab w:val="num" w:pos="4320"/>
        </w:tabs>
        <w:ind w:left="4320" w:hanging="360"/>
      </w:pPr>
      <w:rPr>
        <w:rFonts w:ascii="Arial" w:hAnsi="Arial" w:hint="default"/>
      </w:rPr>
    </w:lvl>
    <w:lvl w:ilvl="6" w:tplc="F19A5CEC" w:tentative="1">
      <w:start w:val="1"/>
      <w:numFmt w:val="bullet"/>
      <w:lvlText w:val="•"/>
      <w:lvlJc w:val="left"/>
      <w:pPr>
        <w:tabs>
          <w:tab w:val="num" w:pos="5040"/>
        </w:tabs>
        <w:ind w:left="5040" w:hanging="360"/>
      </w:pPr>
      <w:rPr>
        <w:rFonts w:ascii="Arial" w:hAnsi="Arial" w:hint="default"/>
      </w:rPr>
    </w:lvl>
    <w:lvl w:ilvl="7" w:tplc="613A7226" w:tentative="1">
      <w:start w:val="1"/>
      <w:numFmt w:val="bullet"/>
      <w:lvlText w:val="•"/>
      <w:lvlJc w:val="left"/>
      <w:pPr>
        <w:tabs>
          <w:tab w:val="num" w:pos="5760"/>
        </w:tabs>
        <w:ind w:left="5760" w:hanging="360"/>
      </w:pPr>
      <w:rPr>
        <w:rFonts w:ascii="Arial" w:hAnsi="Arial" w:hint="default"/>
      </w:rPr>
    </w:lvl>
    <w:lvl w:ilvl="8" w:tplc="B98CD8CE" w:tentative="1">
      <w:start w:val="1"/>
      <w:numFmt w:val="bullet"/>
      <w:lvlText w:val="•"/>
      <w:lvlJc w:val="left"/>
      <w:pPr>
        <w:tabs>
          <w:tab w:val="num" w:pos="6480"/>
        </w:tabs>
        <w:ind w:left="6480" w:hanging="360"/>
      </w:pPr>
      <w:rPr>
        <w:rFonts w:ascii="Arial" w:hAnsi="Arial" w:hint="default"/>
      </w:rPr>
    </w:lvl>
  </w:abstractNum>
  <w:abstractNum w:abstractNumId="12">
    <w:nsid w:val="2FF6208A"/>
    <w:multiLevelType w:val="multilevel"/>
    <w:tmpl w:val="F5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C40001"/>
    <w:multiLevelType w:val="hybridMultilevel"/>
    <w:tmpl w:val="919EE2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FE2234"/>
    <w:multiLevelType w:val="hybridMultilevel"/>
    <w:tmpl w:val="81981746"/>
    <w:lvl w:ilvl="0" w:tplc="7676F006">
      <w:start w:val="1"/>
      <w:numFmt w:val="bullet"/>
      <w:lvlText w:val="•"/>
      <w:lvlJc w:val="left"/>
      <w:pPr>
        <w:tabs>
          <w:tab w:val="num" w:pos="720"/>
        </w:tabs>
        <w:ind w:left="720" w:hanging="360"/>
      </w:pPr>
      <w:rPr>
        <w:rFonts w:ascii="Arial" w:hAnsi="Arial" w:hint="default"/>
      </w:rPr>
    </w:lvl>
    <w:lvl w:ilvl="1" w:tplc="BC08F124" w:tentative="1">
      <w:start w:val="1"/>
      <w:numFmt w:val="bullet"/>
      <w:lvlText w:val="•"/>
      <w:lvlJc w:val="left"/>
      <w:pPr>
        <w:tabs>
          <w:tab w:val="num" w:pos="1440"/>
        </w:tabs>
        <w:ind w:left="1440" w:hanging="360"/>
      </w:pPr>
      <w:rPr>
        <w:rFonts w:ascii="Arial" w:hAnsi="Arial" w:hint="default"/>
      </w:rPr>
    </w:lvl>
    <w:lvl w:ilvl="2" w:tplc="AE523158" w:tentative="1">
      <w:start w:val="1"/>
      <w:numFmt w:val="bullet"/>
      <w:lvlText w:val="•"/>
      <w:lvlJc w:val="left"/>
      <w:pPr>
        <w:tabs>
          <w:tab w:val="num" w:pos="2160"/>
        </w:tabs>
        <w:ind w:left="2160" w:hanging="360"/>
      </w:pPr>
      <w:rPr>
        <w:rFonts w:ascii="Arial" w:hAnsi="Arial" w:hint="default"/>
      </w:rPr>
    </w:lvl>
    <w:lvl w:ilvl="3" w:tplc="891EC6A6" w:tentative="1">
      <w:start w:val="1"/>
      <w:numFmt w:val="bullet"/>
      <w:lvlText w:val="•"/>
      <w:lvlJc w:val="left"/>
      <w:pPr>
        <w:tabs>
          <w:tab w:val="num" w:pos="2880"/>
        </w:tabs>
        <w:ind w:left="2880" w:hanging="360"/>
      </w:pPr>
      <w:rPr>
        <w:rFonts w:ascii="Arial" w:hAnsi="Arial" w:hint="default"/>
      </w:rPr>
    </w:lvl>
    <w:lvl w:ilvl="4" w:tplc="498A94C6" w:tentative="1">
      <w:start w:val="1"/>
      <w:numFmt w:val="bullet"/>
      <w:lvlText w:val="•"/>
      <w:lvlJc w:val="left"/>
      <w:pPr>
        <w:tabs>
          <w:tab w:val="num" w:pos="3600"/>
        </w:tabs>
        <w:ind w:left="3600" w:hanging="360"/>
      </w:pPr>
      <w:rPr>
        <w:rFonts w:ascii="Arial" w:hAnsi="Arial" w:hint="default"/>
      </w:rPr>
    </w:lvl>
    <w:lvl w:ilvl="5" w:tplc="003C62D4" w:tentative="1">
      <w:start w:val="1"/>
      <w:numFmt w:val="bullet"/>
      <w:lvlText w:val="•"/>
      <w:lvlJc w:val="left"/>
      <w:pPr>
        <w:tabs>
          <w:tab w:val="num" w:pos="4320"/>
        </w:tabs>
        <w:ind w:left="4320" w:hanging="360"/>
      </w:pPr>
      <w:rPr>
        <w:rFonts w:ascii="Arial" w:hAnsi="Arial" w:hint="default"/>
      </w:rPr>
    </w:lvl>
    <w:lvl w:ilvl="6" w:tplc="D592BA0A" w:tentative="1">
      <w:start w:val="1"/>
      <w:numFmt w:val="bullet"/>
      <w:lvlText w:val="•"/>
      <w:lvlJc w:val="left"/>
      <w:pPr>
        <w:tabs>
          <w:tab w:val="num" w:pos="5040"/>
        </w:tabs>
        <w:ind w:left="5040" w:hanging="360"/>
      </w:pPr>
      <w:rPr>
        <w:rFonts w:ascii="Arial" w:hAnsi="Arial" w:hint="default"/>
      </w:rPr>
    </w:lvl>
    <w:lvl w:ilvl="7" w:tplc="9C22693A" w:tentative="1">
      <w:start w:val="1"/>
      <w:numFmt w:val="bullet"/>
      <w:lvlText w:val="•"/>
      <w:lvlJc w:val="left"/>
      <w:pPr>
        <w:tabs>
          <w:tab w:val="num" w:pos="5760"/>
        </w:tabs>
        <w:ind w:left="5760" w:hanging="360"/>
      </w:pPr>
      <w:rPr>
        <w:rFonts w:ascii="Arial" w:hAnsi="Arial" w:hint="default"/>
      </w:rPr>
    </w:lvl>
    <w:lvl w:ilvl="8" w:tplc="67BAE3AE" w:tentative="1">
      <w:start w:val="1"/>
      <w:numFmt w:val="bullet"/>
      <w:lvlText w:val="•"/>
      <w:lvlJc w:val="left"/>
      <w:pPr>
        <w:tabs>
          <w:tab w:val="num" w:pos="6480"/>
        </w:tabs>
        <w:ind w:left="6480" w:hanging="360"/>
      </w:pPr>
      <w:rPr>
        <w:rFonts w:ascii="Arial" w:hAnsi="Arial" w:hint="default"/>
      </w:rPr>
    </w:lvl>
  </w:abstractNum>
  <w:abstractNum w:abstractNumId="15">
    <w:nsid w:val="3DF066DD"/>
    <w:multiLevelType w:val="hybridMultilevel"/>
    <w:tmpl w:val="D69227F8"/>
    <w:lvl w:ilvl="0" w:tplc="DAF22436">
      <w:start w:val="1"/>
      <w:numFmt w:val="bullet"/>
      <w:lvlText w:val="•"/>
      <w:lvlJc w:val="left"/>
      <w:pPr>
        <w:tabs>
          <w:tab w:val="num" w:pos="720"/>
        </w:tabs>
        <w:ind w:left="720" w:hanging="360"/>
      </w:pPr>
      <w:rPr>
        <w:rFonts w:ascii="Arial" w:hAnsi="Arial" w:hint="default"/>
      </w:rPr>
    </w:lvl>
    <w:lvl w:ilvl="1" w:tplc="70F8466A">
      <w:start w:val="1"/>
      <w:numFmt w:val="decimal"/>
      <w:lvlText w:val="%2."/>
      <w:lvlJc w:val="left"/>
      <w:pPr>
        <w:tabs>
          <w:tab w:val="num" w:pos="1440"/>
        </w:tabs>
        <w:ind w:left="1440" w:hanging="360"/>
      </w:pPr>
    </w:lvl>
    <w:lvl w:ilvl="2" w:tplc="E6840C64" w:tentative="1">
      <w:start w:val="1"/>
      <w:numFmt w:val="bullet"/>
      <w:lvlText w:val="•"/>
      <w:lvlJc w:val="left"/>
      <w:pPr>
        <w:tabs>
          <w:tab w:val="num" w:pos="2160"/>
        </w:tabs>
        <w:ind w:left="2160" w:hanging="360"/>
      </w:pPr>
      <w:rPr>
        <w:rFonts w:ascii="Arial" w:hAnsi="Arial" w:hint="default"/>
      </w:rPr>
    </w:lvl>
    <w:lvl w:ilvl="3" w:tplc="9A80934C" w:tentative="1">
      <w:start w:val="1"/>
      <w:numFmt w:val="bullet"/>
      <w:lvlText w:val="•"/>
      <w:lvlJc w:val="left"/>
      <w:pPr>
        <w:tabs>
          <w:tab w:val="num" w:pos="2880"/>
        </w:tabs>
        <w:ind w:left="2880" w:hanging="360"/>
      </w:pPr>
      <w:rPr>
        <w:rFonts w:ascii="Arial" w:hAnsi="Arial" w:hint="default"/>
      </w:rPr>
    </w:lvl>
    <w:lvl w:ilvl="4" w:tplc="53ECE980" w:tentative="1">
      <w:start w:val="1"/>
      <w:numFmt w:val="bullet"/>
      <w:lvlText w:val="•"/>
      <w:lvlJc w:val="left"/>
      <w:pPr>
        <w:tabs>
          <w:tab w:val="num" w:pos="3600"/>
        </w:tabs>
        <w:ind w:left="3600" w:hanging="360"/>
      </w:pPr>
      <w:rPr>
        <w:rFonts w:ascii="Arial" w:hAnsi="Arial" w:hint="default"/>
      </w:rPr>
    </w:lvl>
    <w:lvl w:ilvl="5" w:tplc="687E2B4C" w:tentative="1">
      <w:start w:val="1"/>
      <w:numFmt w:val="bullet"/>
      <w:lvlText w:val="•"/>
      <w:lvlJc w:val="left"/>
      <w:pPr>
        <w:tabs>
          <w:tab w:val="num" w:pos="4320"/>
        </w:tabs>
        <w:ind w:left="4320" w:hanging="360"/>
      </w:pPr>
      <w:rPr>
        <w:rFonts w:ascii="Arial" w:hAnsi="Arial" w:hint="default"/>
      </w:rPr>
    </w:lvl>
    <w:lvl w:ilvl="6" w:tplc="83B0603C" w:tentative="1">
      <w:start w:val="1"/>
      <w:numFmt w:val="bullet"/>
      <w:lvlText w:val="•"/>
      <w:lvlJc w:val="left"/>
      <w:pPr>
        <w:tabs>
          <w:tab w:val="num" w:pos="5040"/>
        </w:tabs>
        <w:ind w:left="5040" w:hanging="360"/>
      </w:pPr>
      <w:rPr>
        <w:rFonts w:ascii="Arial" w:hAnsi="Arial" w:hint="default"/>
      </w:rPr>
    </w:lvl>
    <w:lvl w:ilvl="7" w:tplc="70A62C5E" w:tentative="1">
      <w:start w:val="1"/>
      <w:numFmt w:val="bullet"/>
      <w:lvlText w:val="•"/>
      <w:lvlJc w:val="left"/>
      <w:pPr>
        <w:tabs>
          <w:tab w:val="num" w:pos="5760"/>
        </w:tabs>
        <w:ind w:left="5760" w:hanging="360"/>
      </w:pPr>
      <w:rPr>
        <w:rFonts w:ascii="Arial" w:hAnsi="Arial" w:hint="default"/>
      </w:rPr>
    </w:lvl>
    <w:lvl w:ilvl="8" w:tplc="55E45C18" w:tentative="1">
      <w:start w:val="1"/>
      <w:numFmt w:val="bullet"/>
      <w:lvlText w:val="•"/>
      <w:lvlJc w:val="left"/>
      <w:pPr>
        <w:tabs>
          <w:tab w:val="num" w:pos="6480"/>
        </w:tabs>
        <w:ind w:left="6480" w:hanging="360"/>
      </w:pPr>
      <w:rPr>
        <w:rFonts w:ascii="Arial" w:hAnsi="Arial" w:hint="default"/>
      </w:rPr>
    </w:lvl>
  </w:abstractNum>
  <w:abstractNum w:abstractNumId="16">
    <w:nsid w:val="3E7F4A93"/>
    <w:multiLevelType w:val="hybridMultilevel"/>
    <w:tmpl w:val="48C87A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21860EB"/>
    <w:multiLevelType w:val="hybridMultilevel"/>
    <w:tmpl w:val="E27406FA"/>
    <w:lvl w:ilvl="0" w:tplc="F0520EC0">
      <w:start w:val="1"/>
      <w:numFmt w:val="decimal"/>
      <w:lvlText w:val="%1."/>
      <w:lvlJc w:val="left"/>
      <w:pPr>
        <w:tabs>
          <w:tab w:val="num" w:pos="720"/>
        </w:tabs>
        <w:ind w:left="720" w:hanging="360"/>
      </w:pPr>
    </w:lvl>
    <w:lvl w:ilvl="1" w:tplc="49AE03C4" w:tentative="1">
      <w:start w:val="1"/>
      <w:numFmt w:val="decimal"/>
      <w:lvlText w:val="%2."/>
      <w:lvlJc w:val="left"/>
      <w:pPr>
        <w:tabs>
          <w:tab w:val="num" w:pos="1440"/>
        </w:tabs>
        <w:ind w:left="1440" w:hanging="360"/>
      </w:pPr>
    </w:lvl>
    <w:lvl w:ilvl="2" w:tplc="F502112A" w:tentative="1">
      <w:start w:val="1"/>
      <w:numFmt w:val="decimal"/>
      <w:lvlText w:val="%3."/>
      <w:lvlJc w:val="left"/>
      <w:pPr>
        <w:tabs>
          <w:tab w:val="num" w:pos="2160"/>
        </w:tabs>
        <w:ind w:left="2160" w:hanging="360"/>
      </w:pPr>
    </w:lvl>
    <w:lvl w:ilvl="3" w:tplc="DA28E240" w:tentative="1">
      <w:start w:val="1"/>
      <w:numFmt w:val="decimal"/>
      <w:lvlText w:val="%4."/>
      <w:lvlJc w:val="left"/>
      <w:pPr>
        <w:tabs>
          <w:tab w:val="num" w:pos="2880"/>
        </w:tabs>
        <w:ind w:left="2880" w:hanging="360"/>
      </w:pPr>
    </w:lvl>
    <w:lvl w:ilvl="4" w:tplc="52ECA278" w:tentative="1">
      <w:start w:val="1"/>
      <w:numFmt w:val="decimal"/>
      <w:lvlText w:val="%5."/>
      <w:lvlJc w:val="left"/>
      <w:pPr>
        <w:tabs>
          <w:tab w:val="num" w:pos="3600"/>
        </w:tabs>
        <w:ind w:left="3600" w:hanging="360"/>
      </w:pPr>
    </w:lvl>
    <w:lvl w:ilvl="5" w:tplc="4C1C4142" w:tentative="1">
      <w:start w:val="1"/>
      <w:numFmt w:val="decimal"/>
      <w:lvlText w:val="%6."/>
      <w:lvlJc w:val="left"/>
      <w:pPr>
        <w:tabs>
          <w:tab w:val="num" w:pos="4320"/>
        </w:tabs>
        <w:ind w:left="4320" w:hanging="360"/>
      </w:pPr>
    </w:lvl>
    <w:lvl w:ilvl="6" w:tplc="E0142112" w:tentative="1">
      <w:start w:val="1"/>
      <w:numFmt w:val="decimal"/>
      <w:lvlText w:val="%7."/>
      <w:lvlJc w:val="left"/>
      <w:pPr>
        <w:tabs>
          <w:tab w:val="num" w:pos="5040"/>
        </w:tabs>
        <w:ind w:left="5040" w:hanging="360"/>
      </w:pPr>
    </w:lvl>
    <w:lvl w:ilvl="7" w:tplc="FE500402" w:tentative="1">
      <w:start w:val="1"/>
      <w:numFmt w:val="decimal"/>
      <w:lvlText w:val="%8."/>
      <w:lvlJc w:val="left"/>
      <w:pPr>
        <w:tabs>
          <w:tab w:val="num" w:pos="5760"/>
        </w:tabs>
        <w:ind w:left="5760" w:hanging="360"/>
      </w:pPr>
    </w:lvl>
    <w:lvl w:ilvl="8" w:tplc="0D8E7700" w:tentative="1">
      <w:start w:val="1"/>
      <w:numFmt w:val="decimal"/>
      <w:lvlText w:val="%9."/>
      <w:lvlJc w:val="left"/>
      <w:pPr>
        <w:tabs>
          <w:tab w:val="num" w:pos="6480"/>
        </w:tabs>
        <w:ind w:left="6480" w:hanging="360"/>
      </w:pPr>
    </w:lvl>
  </w:abstractNum>
  <w:abstractNum w:abstractNumId="18">
    <w:nsid w:val="4BA3775C"/>
    <w:multiLevelType w:val="hybridMultilevel"/>
    <w:tmpl w:val="AA94719A"/>
    <w:lvl w:ilvl="0" w:tplc="905244F2">
      <w:start w:val="1"/>
      <w:numFmt w:val="bullet"/>
      <w:lvlText w:val="•"/>
      <w:lvlJc w:val="left"/>
      <w:pPr>
        <w:tabs>
          <w:tab w:val="num" w:pos="720"/>
        </w:tabs>
        <w:ind w:left="720" w:hanging="360"/>
      </w:pPr>
      <w:rPr>
        <w:rFonts w:ascii="Arial" w:hAnsi="Arial" w:hint="default"/>
      </w:rPr>
    </w:lvl>
    <w:lvl w:ilvl="1" w:tplc="478EA4C6" w:tentative="1">
      <w:start w:val="1"/>
      <w:numFmt w:val="bullet"/>
      <w:lvlText w:val="•"/>
      <w:lvlJc w:val="left"/>
      <w:pPr>
        <w:tabs>
          <w:tab w:val="num" w:pos="1440"/>
        </w:tabs>
        <w:ind w:left="1440" w:hanging="360"/>
      </w:pPr>
      <w:rPr>
        <w:rFonts w:ascii="Arial" w:hAnsi="Arial" w:hint="default"/>
      </w:rPr>
    </w:lvl>
    <w:lvl w:ilvl="2" w:tplc="F3A8F550">
      <w:start w:val="1"/>
      <w:numFmt w:val="bullet"/>
      <w:lvlText w:val="•"/>
      <w:lvlJc w:val="left"/>
      <w:pPr>
        <w:tabs>
          <w:tab w:val="num" w:pos="2160"/>
        </w:tabs>
        <w:ind w:left="2160" w:hanging="360"/>
      </w:pPr>
      <w:rPr>
        <w:rFonts w:ascii="Arial" w:hAnsi="Arial" w:hint="default"/>
      </w:rPr>
    </w:lvl>
    <w:lvl w:ilvl="3" w:tplc="84180120" w:tentative="1">
      <w:start w:val="1"/>
      <w:numFmt w:val="bullet"/>
      <w:lvlText w:val="•"/>
      <w:lvlJc w:val="left"/>
      <w:pPr>
        <w:tabs>
          <w:tab w:val="num" w:pos="2880"/>
        </w:tabs>
        <w:ind w:left="2880" w:hanging="360"/>
      </w:pPr>
      <w:rPr>
        <w:rFonts w:ascii="Arial" w:hAnsi="Arial" w:hint="default"/>
      </w:rPr>
    </w:lvl>
    <w:lvl w:ilvl="4" w:tplc="76028936" w:tentative="1">
      <w:start w:val="1"/>
      <w:numFmt w:val="bullet"/>
      <w:lvlText w:val="•"/>
      <w:lvlJc w:val="left"/>
      <w:pPr>
        <w:tabs>
          <w:tab w:val="num" w:pos="3600"/>
        </w:tabs>
        <w:ind w:left="3600" w:hanging="360"/>
      </w:pPr>
      <w:rPr>
        <w:rFonts w:ascii="Arial" w:hAnsi="Arial" w:hint="default"/>
      </w:rPr>
    </w:lvl>
    <w:lvl w:ilvl="5" w:tplc="68201B8C" w:tentative="1">
      <w:start w:val="1"/>
      <w:numFmt w:val="bullet"/>
      <w:lvlText w:val="•"/>
      <w:lvlJc w:val="left"/>
      <w:pPr>
        <w:tabs>
          <w:tab w:val="num" w:pos="4320"/>
        </w:tabs>
        <w:ind w:left="4320" w:hanging="360"/>
      </w:pPr>
      <w:rPr>
        <w:rFonts w:ascii="Arial" w:hAnsi="Arial" w:hint="default"/>
      </w:rPr>
    </w:lvl>
    <w:lvl w:ilvl="6" w:tplc="3500D2D4" w:tentative="1">
      <w:start w:val="1"/>
      <w:numFmt w:val="bullet"/>
      <w:lvlText w:val="•"/>
      <w:lvlJc w:val="left"/>
      <w:pPr>
        <w:tabs>
          <w:tab w:val="num" w:pos="5040"/>
        </w:tabs>
        <w:ind w:left="5040" w:hanging="360"/>
      </w:pPr>
      <w:rPr>
        <w:rFonts w:ascii="Arial" w:hAnsi="Arial" w:hint="default"/>
      </w:rPr>
    </w:lvl>
    <w:lvl w:ilvl="7" w:tplc="93268DEC" w:tentative="1">
      <w:start w:val="1"/>
      <w:numFmt w:val="bullet"/>
      <w:lvlText w:val="•"/>
      <w:lvlJc w:val="left"/>
      <w:pPr>
        <w:tabs>
          <w:tab w:val="num" w:pos="5760"/>
        </w:tabs>
        <w:ind w:left="5760" w:hanging="360"/>
      </w:pPr>
      <w:rPr>
        <w:rFonts w:ascii="Arial" w:hAnsi="Arial" w:hint="default"/>
      </w:rPr>
    </w:lvl>
    <w:lvl w:ilvl="8" w:tplc="160650FE" w:tentative="1">
      <w:start w:val="1"/>
      <w:numFmt w:val="bullet"/>
      <w:lvlText w:val="•"/>
      <w:lvlJc w:val="left"/>
      <w:pPr>
        <w:tabs>
          <w:tab w:val="num" w:pos="6480"/>
        </w:tabs>
        <w:ind w:left="6480" w:hanging="360"/>
      </w:pPr>
      <w:rPr>
        <w:rFonts w:ascii="Arial" w:hAnsi="Arial" w:hint="default"/>
      </w:rPr>
    </w:lvl>
  </w:abstractNum>
  <w:abstractNum w:abstractNumId="19">
    <w:nsid w:val="4FC7478A"/>
    <w:multiLevelType w:val="hybridMultilevel"/>
    <w:tmpl w:val="6A3E5876"/>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F41175D"/>
    <w:multiLevelType w:val="hybridMultilevel"/>
    <w:tmpl w:val="632E786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6C2D4575"/>
    <w:multiLevelType w:val="hybridMultilevel"/>
    <w:tmpl w:val="AFA03E7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1C6368"/>
    <w:multiLevelType w:val="hybridMultilevel"/>
    <w:tmpl w:val="AE069F90"/>
    <w:lvl w:ilvl="0" w:tplc="DE2E3D7E">
      <w:start w:val="1"/>
      <w:numFmt w:val="bullet"/>
      <w:lvlText w:val="•"/>
      <w:lvlJc w:val="left"/>
      <w:pPr>
        <w:tabs>
          <w:tab w:val="num" w:pos="720"/>
        </w:tabs>
        <w:ind w:left="720" w:hanging="360"/>
      </w:pPr>
      <w:rPr>
        <w:rFonts w:ascii="Arial" w:hAnsi="Arial" w:hint="default"/>
      </w:rPr>
    </w:lvl>
    <w:lvl w:ilvl="1" w:tplc="8B2C92BA" w:tentative="1">
      <w:start w:val="1"/>
      <w:numFmt w:val="bullet"/>
      <w:lvlText w:val="•"/>
      <w:lvlJc w:val="left"/>
      <w:pPr>
        <w:tabs>
          <w:tab w:val="num" w:pos="1440"/>
        </w:tabs>
        <w:ind w:left="1440" w:hanging="360"/>
      </w:pPr>
      <w:rPr>
        <w:rFonts w:ascii="Arial" w:hAnsi="Arial" w:hint="default"/>
      </w:rPr>
    </w:lvl>
    <w:lvl w:ilvl="2" w:tplc="5F666480" w:tentative="1">
      <w:start w:val="1"/>
      <w:numFmt w:val="bullet"/>
      <w:lvlText w:val="•"/>
      <w:lvlJc w:val="left"/>
      <w:pPr>
        <w:tabs>
          <w:tab w:val="num" w:pos="2160"/>
        </w:tabs>
        <w:ind w:left="2160" w:hanging="360"/>
      </w:pPr>
      <w:rPr>
        <w:rFonts w:ascii="Arial" w:hAnsi="Arial" w:hint="default"/>
      </w:rPr>
    </w:lvl>
    <w:lvl w:ilvl="3" w:tplc="152CC1A8" w:tentative="1">
      <w:start w:val="1"/>
      <w:numFmt w:val="bullet"/>
      <w:lvlText w:val="•"/>
      <w:lvlJc w:val="left"/>
      <w:pPr>
        <w:tabs>
          <w:tab w:val="num" w:pos="2880"/>
        </w:tabs>
        <w:ind w:left="2880" w:hanging="360"/>
      </w:pPr>
      <w:rPr>
        <w:rFonts w:ascii="Arial" w:hAnsi="Arial" w:hint="default"/>
      </w:rPr>
    </w:lvl>
    <w:lvl w:ilvl="4" w:tplc="C80030B2" w:tentative="1">
      <w:start w:val="1"/>
      <w:numFmt w:val="bullet"/>
      <w:lvlText w:val="•"/>
      <w:lvlJc w:val="left"/>
      <w:pPr>
        <w:tabs>
          <w:tab w:val="num" w:pos="3600"/>
        </w:tabs>
        <w:ind w:left="3600" w:hanging="360"/>
      </w:pPr>
      <w:rPr>
        <w:rFonts w:ascii="Arial" w:hAnsi="Arial" w:hint="default"/>
      </w:rPr>
    </w:lvl>
    <w:lvl w:ilvl="5" w:tplc="7ECAA34A" w:tentative="1">
      <w:start w:val="1"/>
      <w:numFmt w:val="bullet"/>
      <w:lvlText w:val="•"/>
      <w:lvlJc w:val="left"/>
      <w:pPr>
        <w:tabs>
          <w:tab w:val="num" w:pos="4320"/>
        </w:tabs>
        <w:ind w:left="4320" w:hanging="360"/>
      </w:pPr>
      <w:rPr>
        <w:rFonts w:ascii="Arial" w:hAnsi="Arial" w:hint="default"/>
      </w:rPr>
    </w:lvl>
    <w:lvl w:ilvl="6" w:tplc="F19C7346" w:tentative="1">
      <w:start w:val="1"/>
      <w:numFmt w:val="bullet"/>
      <w:lvlText w:val="•"/>
      <w:lvlJc w:val="left"/>
      <w:pPr>
        <w:tabs>
          <w:tab w:val="num" w:pos="5040"/>
        </w:tabs>
        <w:ind w:left="5040" w:hanging="360"/>
      </w:pPr>
      <w:rPr>
        <w:rFonts w:ascii="Arial" w:hAnsi="Arial" w:hint="default"/>
      </w:rPr>
    </w:lvl>
    <w:lvl w:ilvl="7" w:tplc="E68C4B52" w:tentative="1">
      <w:start w:val="1"/>
      <w:numFmt w:val="bullet"/>
      <w:lvlText w:val="•"/>
      <w:lvlJc w:val="left"/>
      <w:pPr>
        <w:tabs>
          <w:tab w:val="num" w:pos="5760"/>
        </w:tabs>
        <w:ind w:left="5760" w:hanging="360"/>
      </w:pPr>
      <w:rPr>
        <w:rFonts w:ascii="Arial" w:hAnsi="Arial" w:hint="default"/>
      </w:rPr>
    </w:lvl>
    <w:lvl w:ilvl="8" w:tplc="D94A68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12"/>
  </w:num>
  <w:num w:numId="4">
    <w:abstractNumId w:val="6"/>
  </w:num>
  <w:num w:numId="5">
    <w:abstractNumId w:val="22"/>
  </w:num>
  <w:num w:numId="6">
    <w:abstractNumId w:val="11"/>
  </w:num>
  <w:num w:numId="7">
    <w:abstractNumId w:val="15"/>
  </w:num>
  <w:num w:numId="8">
    <w:abstractNumId w:val="7"/>
  </w:num>
  <w:num w:numId="9">
    <w:abstractNumId w:val="14"/>
  </w:num>
  <w:num w:numId="10">
    <w:abstractNumId w:val="16"/>
  </w:num>
  <w:num w:numId="11">
    <w:abstractNumId w:val="19"/>
  </w:num>
  <w:num w:numId="12">
    <w:abstractNumId w:val="1"/>
  </w:num>
  <w:num w:numId="13">
    <w:abstractNumId w:val="18"/>
  </w:num>
  <w:num w:numId="14">
    <w:abstractNumId w:val="17"/>
  </w:num>
  <w:num w:numId="15">
    <w:abstractNumId w:val="8"/>
  </w:num>
  <w:num w:numId="16">
    <w:abstractNumId w:val="9"/>
  </w:num>
  <w:num w:numId="17">
    <w:abstractNumId w:val="2"/>
  </w:num>
  <w:num w:numId="18">
    <w:abstractNumId w:val="21"/>
  </w:num>
  <w:num w:numId="19">
    <w:abstractNumId w:val="3"/>
  </w:num>
  <w:num w:numId="20">
    <w:abstractNumId w:val="5"/>
  </w:num>
  <w:num w:numId="21">
    <w:abstractNumId w:val="4"/>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A1"/>
    <w:rsid w:val="00004184"/>
    <w:rsid w:val="00040652"/>
    <w:rsid w:val="000500EE"/>
    <w:rsid w:val="000722BD"/>
    <w:rsid w:val="0009217B"/>
    <w:rsid w:val="000A4E81"/>
    <w:rsid w:val="000B0347"/>
    <w:rsid w:val="000E10A9"/>
    <w:rsid w:val="000F1014"/>
    <w:rsid w:val="00107823"/>
    <w:rsid w:val="001304FE"/>
    <w:rsid w:val="001335A6"/>
    <w:rsid w:val="00142BBA"/>
    <w:rsid w:val="001459BC"/>
    <w:rsid w:val="00163CDC"/>
    <w:rsid w:val="00163EDB"/>
    <w:rsid w:val="001929F0"/>
    <w:rsid w:val="001A2B7F"/>
    <w:rsid w:val="001D1E8F"/>
    <w:rsid w:val="001F642B"/>
    <w:rsid w:val="0021654E"/>
    <w:rsid w:val="00235761"/>
    <w:rsid w:val="00250015"/>
    <w:rsid w:val="00251319"/>
    <w:rsid w:val="002727CF"/>
    <w:rsid w:val="002B3AC4"/>
    <w:rsid w:val="002E0B5B"/>
    <w:rsid w:val="002E70E2"/>
    <w:rsid w:val="002F144B"/>
    <w:rsid w:val="002F3E8B"/>
    <w:rsid w:val="00320BB6"/>
    <w:rsid w:val="00332A8E"/>
    <w:rsid w:val="00342627"/>
    <w:rsid w:val="00342B26"/>
    <w:rsid w:val="00383CA8"/>
    <w:rsid w:val="003864DB"/>
    <w:rsid w:val="003A4A0F"/>
    <w:rsid w:val="003A73E2"/>
    <w:rsid w:val="003B538C"/>
    <w:rsid w:val="003D6B3A"/>
    <w:rsid w:val="003E01E8"/>
    <w:rsid w:val="003F2003"/>
    <w:rsid w:val="003F2AD8"/>
    <w:rsid w:val="003F4590"/>
    <w:rsid w:val="003F6428"/>
    <w:rsid w:val="003F7F99"/>
    <w:rsid w:val="004122BA"/>
    <w:rsid w:val="0041525D"/>
    <w:rsid w:val="0043315A"/>
    <w:rsid w:val="00441569"/>
    <w:rsid w:val="00444DAD"/>
    <w:rsid w:val="00451246"/>
    <w:rsid w:val="00455504"/>
    <w:rsid w:val="004614A2"/>
    <w:rsid w:val="00462219"/>
    <w:rsid w:val="00477B4F"/>
    <w:rsid w:val="004A03F8"/>
    <w:rsid w:val="004A2BE9"/>
    <w:rsid w:val="004A336A"/>
    <w:rsid w:val="004A65F3"/>
    <w:rsid w:val="004A7CEC"/>
    <w:rsid w:val="004C40BC"/>
    <w:rsid w:val="004D2CDC"/>
    <w:rsid w:val="004F59BF"/>
    <w:rsid w:val="00524CAB"/>
    <w:rsid w:val="005371AC"/>
    <w:rsid w:val="00556A8E"/>
    <w:rsid w:val="00562CAA"/>
    <w:rsid w:val="00572131"/>
    <w:rsid w:val="00572E7B"/>
    <w:rsid w:val="005840E7"/>
    <w:rsid w:val="00587317"/>
    <w:rsid w:val="0059737A"/>
    <w:rsid w:val="00597CCA"/>
    <w:rsid w:val="005C6222"/>
    <w:rsid w:val="005E3B90"/>
    <w:rsid w:val="005F48F3"/>
    <w:rsid w:val="00686501"/>
    <w:rsid w:val="006939C8"/>
    <w:rsid w:val="006C363C"/>
    <w:rsid w:val="006C4FC2"/>
    <w:rsid w:val="006C632E"/>
    <w:rsid w:val="006D5D1E"/>
    <w:rsid w:val="00710DE2"/>
    <w:rsid w:val="00715B2E"/>
    <w:rsid w:val="00722E4A"/>
    <w:rsid w:val="007300D3"/>
    <w:rsid w:val="00736663"/>
    <w:rsid w:val="007544EA"/>
    <w:rsid w:val="00772ACE"/>
    <w:rsid w:val="00773C52"/>
    <w:rsid w:val="00777C4D"/>
    <w:rsid w:val="00790DF8"/>
    <w:rsid w:val="00791972"/>
    <w:rsid w:val="007E5BF2"/>
    <w:rsid w:val="007E753C"/>
    <w:rsid w:val="00804B64"/>
    <w:rsid w:val="00806EFF"/>
    <w:rsid w:val="0081125E"/>
    <w:rsid w:val="0081155A"/>
    <w:rsid w:val="00813852"/>
    <w:rsid w:val="0081421B"/>
    <w:rsid w:val="0083521A"/>
    <w:rsid w:val="008424C9"/>
    <w:rsid w:val="0084326A"/>
    <w:rsid w:val="00851037"/>
    <w:rsid w:val="008550FC"/>
    <w:rsid w:val="00866516"/>
    <w:rsid w:val="00870863"/>
    <w:rsid w:val="00871577"/>
    <w:rsid w:val="00892173"/>
    <w:rsid w:val="008A665F"/>
    <w:rsid w:val="008B02EF"/>
    <w:rsid w:val="008B05BA"/>
    <w:rsid w:val="008B5E29"/>
    <w:rsid w:val="008C505F"/>
    <w:rsid w:val="008C532A"/>
    <w:rsid w:val="008E0E2D"/>
    <w:rsid w:val="008E30F3"/>
    <w:rsid w:val="008F301B"/>
    <w:rsid w:val="00923E2D"/>
    <w:rsid w:val="00935A08"/>
    <w:rsid w:val="009820C1"/>
    <w:rsid w:val="009844CC"/>
    <w:rsid w:val="009A746F"/>
    <w:rsid w:val="009B1CC9"/>
    <w:rsid w:val="009C0096"/>
    <w:rsid w:val="009C1CA4"/>
    <w:rsid w:val="009E2EB1"/>
    <w:rsid w:val="009F7ACA"/>
    <w:rsid w:val="00A21306"/>
    <w:rsid w:val="00A45195"/>
    <w:rsid w:val="00A6101F"/>
    <w:rsid w:val="00A90923"/>
    <w:rsid w:val="00AA0701"/>
    <w:rsid w:val="00AA4C12"/>
    <w:rsid w:val="00AB2BCC"/>
    <w:rsid w:val="00AB6B3F"/>
    <w:rsid w:val="00AD66D1"/>
    <w:rsid w:val="00B00B49"/>
    <w:rsid w:val="00B01A6F"/>
    <w:rsid w:val="00B05919"/>
    <w:rsid w:val="00B20167"/>
    <w:rsid w:val="00B464AD"/>
    <w:rsid w:val="00B747CE"/>
    <w:rsid w:val="00B755D5"/>
    <w:rsid w:val="00B8322B"/>
    <w:rsid w:val="00B86B11"/>
    <w:rsid w:val="00B94F27"/>
    <w:rsid w:val="00BC5257"/>
    <w:rsid w:val="00BD7D3C"/>
    <w:rsid w:val="00BE4DF5"/>
    <w:rsid w:val="00BF4B3A"/>
    <w:rsid w:val="00C01198"/>
    <w:rsid w:val="00C23295"/>
    <w:rsid w:val="00C72907"/>
    <w:rsid w:val="00C96384"/>
    <w:rsid w:val="00CA2943"/>
    <w:rsid w:val="00CC3EC5"/>
    <w:rsid w:val="00CD195B"/>
    <w:rsid w:val="00D045F9"/>
    <w:rsid w:val="00D12AF5"/>
    <w:rsid w:val="00D41358"/>
    <w:rsid w:val="00D534EC"/>
    <w:rsid w:val="00D5708A"/>
    <w:rsid w:val="00D70E61"/>
    <w:rsid w:val="00D82FAA"/>
    <w:rsid w:val="00DA224B"/>
    <w:rsid w:val="00DA534A"/>
    <w:rsid w:val="00DB3DC5"/>
    <w:rsid w:val="00DB68B4"/>
    <w:rsid w:val="00DD50B6"/>
    <w:rsid w:val="00DF0A5B"/>
    <w:rsid w:val="00E10FDE"/>
    <w:rsid w:val="00E50C09"/>
    <w:rsid w:val="00E720A1"/>
    <w:rsid w:val="00E81324"/>
    <w:rsid w:val="00E81BA9"/>
    <w:rsid w:val="00E90C6C"/>
    <w:rsid w:val="00E93444"/>
    <w:rsid w:val="00E93D2B"/>
    <w:rsid w:val="00EB2FF5"/>
    <w:rsid w:val="00EC6613"/>
    <w:rsid w:val="00EE6DA1"/>
    <w:rsid w:val="00EF42E5"/>
    <w:rsid w:val="00F02823"/>
    <w:rsid w:val="00F227B0"/>
    <w:rsid w:val="00F44710"/>
    <w:rsid w:val="00F47116"/>
    <w:rsid w:val="00F603F4"/>
    <w:rsid w:val="00F762F3"/>
    <w:rsid w:val="00F8039B"/>
    <w:rsid w:val="00F829B4"/>
    <w:rsid w:val="00FB116C"/>
    <w:rsid w:val="00FB792B"/>
    <w:rsid w:val="00FE3B64"/>
    <w:rsid w:val="00FF228C"/>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C5D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50C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736663"/>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D66D1"/>
  </w:style>
  <w:style w:type="character" w:customStyle="1" w:styleId="TextonotapieCar">
    <w:name w:val="Texto nota pie Car"/>
    <w:basedOn w:val="Fuentedeprrafopredeter"/>
    <w:link w:val="Textonotapie"/>
    <w:uiPriority w:val="99"/>
    <w:rsid w:val="00AD66D1"/>
    <w:rPr>
      <w:lang w:val="es-ES_tradnl"/>
    </w:rPr>
  </w:style>
  <w:style w:type="character" w:styleId="Refdenotaalpie">
    <w:name w:val="footnote reference"/>
    <w:basedOn w:val="Fuentedeprrafopredeter"/>
    <w:uiPriority w:val="99"/>
    <w:unhideWhenUsed/>
    <w:rsid w:val="00AD66D1"/>
    <w:rPr>
      <w:vertAlign w:val="superscript"/>
    </w:rPr>
  </w:style>
  <w:style w:type="paragraph" w:styleId="Prrafodelista">
    <w:name w:val="List Paragraph"/>
    <w:basedOn w:val="Normal"/>
    <w:uiPriority w:val="34"/>
    <w:qFormat/>
    <w:rsid w:val="00556A8E"/>
    <w:pPr>
      <w:ind w:left="720"/>
      <w:contextualSpacing/>
    </w:pPr>
    <w:rPr>
      <w:rFonts w:ascii="Times" w:hAnsi="Times"/>
      <w:sz w:val="20"/>
      <w:szCs w:val="20"/>
    </w:rPr>
  </w:style>
  <w:style w:type="paragraph" w:styleId="NormalWeb">
    <w:name w:val="Normal (Web)"/>
    <w:basedOn w:val="Normal"/>
    <w:uiPriority w:val="99"/>
    <w:semiHidden/>
    <w:unhideWhenUsed/>
    <w:rsid w:val="00D41358"/>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D41358"/>
    <w:rPr>
      <w:i/>
      <w:iCs/>
    </w:rPr>
  </w:style>
  <w:style w:type="paragraph" w:styleId="Textodeglobo">
    <w:name w:val="Balloon Text"/>
    <w:basedOn w:val="Normal"/>
    <w:link w:val="TextodegloboCar"/>
    <w:uiPriority w:val="99"/>
    <w:semiHidden/>
    <w:unhideWhenUsed/>
    <w:rsid w:val="00EF42E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F42E5"/>
    <w:rPr>
      <w:rFonts w:ascii="Lucida Grande" w:hAnsi="Lucida Grande" w:cs="Lucida Grande"/>
      <w:sz w:val="18"/>
      <w:szCs w:val="18"/>
      <w:lang w:val="es-ES_tradnl"/>
    </w:rPr>
  </w:style>
  <w:style w:type="character" w:customStyle="1" w:styleId="shorttext">
    <w:name w:val="short_text"/>
    <w:basedOn w:val="Fuentedeprrafopredeter"/>
    <w:rsid w:val="003F2003"/>
  </w:style>
  <w:style w:type="character" w:customStyle="1" w:styleId="Ttulo2Car">
    <w:name w:val="Título 2 Car"/>
    <w:basedOn w:val="Fuentedeprrafopredeter"/>
    <w:link w:val="Ttulo2"/>
    <w:uiPriority w:val="9"/>
    <w:rsid w:val="00736663"/>
    <w:rPr>
      <w:rFonts w:ascii="Times" w:hAnsi="Times"/>
      <w:b/>
      <w:bCs/>
      <w:sz w:val="36"/>
      <w:szCs w:val="36"/>
      <w:lang w:val="es-ES_tradnl"/>
    </w:rPr>
  </w:style>
  <w:style w:type="table" w:styleId="Tablaconcuadrcula">
    <w:name w:val="Table Grid"/>
    <w:basedOn w:val="Tablanormal"/>
    <w:uiPriority w:val="59"/>
    <w:rsid w:val="00C72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D570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uiPriority w:val="1"/>
    <w:qFormat/>
    <w:rsid w:val="00FE3B64"/>
    <w:rPr>
      <w:lang w:val="es-ES_tradnl"/>
    </w:rPr>
  </w:style>
  <w:style w:type="table" w:styleId="Sombreadoclaro-nfasis1">
    <w:name w:val="Light Shading Accent 1"/>
    <w:basedOn w:val="Tablanormal"/>
    <w:uiPriority w:val="60"/>
    <w:rsid w:val="006C632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6C63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6C632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media2">
    <w:name w:val="Medium List 2"/>
    <w:basedOn w:val="Tablanormal"/>
    <w:uiPriority w:val="66"/>
    <w:rsid w:val="006C632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rsid w:val="006C632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tulo1Car">
    <w:name w:val="Título 1 Car"/>
    <w:basedOn w:val="Fuentedeprrafopredeter"/>
    <w:link w:val="Ttulo1"/>
    <w:uiPriority w:val="9"/>
    <w:rsid w:val="00E50C09"/>
    <w:rPr>
      <w:rFonts w:asciiTheme="majorHAnsi" w:eastAsiaTheme="majorEastAsia" w:hAnsiTheme="majorHAnsi" w:cstheme="majorBidi"/>
      <w:b/>
      <w:bCs/>
      <w:color w:val="345A8A" w:themeColor="accent1" w:themeShade="B5"/>
      <w:sz w:val="32"/>
      <w:szCs w:val="32"/>
      <w:lang w:val="es-ES_tradnl"/>
    </w:rPr>
  </w:style>
  <w:style w:type="table" w:customStyle="1" w:styleId="GridTable3-Accent11">
    <w:name w:val="Grid Table 3 - Accent 11"/>
    <w:basedOn w:val="Tablanormal"/>
    <w:uiPriority w:val="48"/>
    <w:rsid w:val="00E50C0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apple-converted-space">
    <w:name w:val="apple-converted-space"/>
    <w:basedOn w:val="Fuentedeprrafopredeter"/>
    <w:rsid w:val="00E50C09"/>
  </w:style>
  <w:style w:type="character" w:styleId="Refdenotaalfinal">
    <w:name w:val="endnote reference"/>
    <w:basedOn w:val="Fuentedeprrafopredeter"/>
    <w:uiPriority w:val="99"/>
    <w:semiHidden/>
    <w:unhideWhenUsed/>
    <w:rsid w:val="00342B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50C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736663"/>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D66D1"/>
  </w:style>
  <w:style w:type="character" w:customStyle="1" w:styleId="TextonotapieCar">
    <w:name w:val="Texto nota pie Car"/>
    <w:basedOn w:val="Fuentedeprrafopredeter"/>
    <w:link w:val="Textonotapie"/>
    <w:uiPriority w:val="99"/>
    <w:rsid w:val="00AD66D1"/>
    <w:rPr>
      <w:lang w:val="es-ES_tradnl"/>
    </w:rPr>
  </w:style>
  <w:style w:type="character" w:styleId="Refdenotaalpie">
    <w:name w:val="footnote reference"/>
    <w:basedOn w:val="Fuentedeprrafopredeter"/>
    <w:uiPriority w:val="99"/>
    <w:unhideWhenUsed/>
    <w:rsid w:val="00AD66D1"/>
    <w:rPr>
      <w:vertAlign w:val="superscript"/>
    </w:rPr>
  </w:style>
  <w:style w:type="paragraph" w:styleId="Prrafodelista">
    <w:name w:val="List Paragraph"/>
    <w:basedOn w:val="Normal"/>
    <w:uiPriority w:val="34"/>
    <w:qFormat/>
    <w:rsid w:val="00556A8E"/>
    <w:pPr>
      <w:ind w:left="720"/>
      <w:contextualSpacing/>
    </w:pPr>
    <w:rPr>
      <w:rFonts w:ascii="Times" w:hAnsi="Times"/>
      <w:sz w:val="20"/>
      <w:szCs w:val="20"/>
    </w:rPr>
  </w:style>
  <w:style w:type="paragraph" w:styleId="NormalWeb">
    <w:name w:val="Normal (Web)"/>
    <w:basedOn w:val="Normal"/>
    <w:uiPriority w:val="99"/>
    <w:semiHidden/>
    <w:unhideWhenUsed/>
    <w:rsid w:val="00D41358"/>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D41358"/>
    <w:rPr>
      <w:i/>
      <w:iCs/>
    </w:rPr>
  </w:style>
  <w:style w:type="paragraph" w:styleId="Textodeglobo">
    <w:name w:val="Balloon Text"/>
    <w:basedOn w:val="Normal"/>
    <w:link w:val="TextodegloboCar"/>
    <w:uiPriority w:val="99"/>
    <w:semiHidden/>
    <w:unhideWhenUsed/>
    <w:rsid w:val="00EF42E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F42E5"/>
    <w:rPr>
      <w:rFonts w:ascii="Lucida Grande" w:hAnsi="Lucida Grande" w:cs="Lucida Grande"/>
      <w:sz w:val="18"/>
      <w:szCs w:val="18"/>
      <w:lang w:val="es-ES_tradnl"/>
    </w:rPr>
  </w:style>
  <w:style w:type="character" w:customStyle="1" w:styleId="shorttext">
    <w:name w:val="short_text"/>
    <w:basedOn w:val="Fuentedeprrafopredeter"/>
    <w:rsid w:val="003F2003"/>
  </w:style>
  <w:style w:type="character" w:customStyle="1" w:styleId="Ttulo2Car">
    <w:name w:val="Título 2 Car"/>
    <w:basedOn w:val="Fuentedeprrafopredeter"/>
    <w:link w:val="Ttulo2"/>
    <w:uiPriority w:val="9"/>
    <w:rsid w:val="00736663"/>
    <w:rPr>
      <w:rFonts w:ascii="Times" w:hAnsi="Times"/>
      <w:b/>
      <w:bCs/>
      <w:sz w:val="36"/>
      <w:szCs w:val="36"/>
      <w:lang w:val="es-ES_tradnl"/>
    </w:rPr>
  </w:style>
  <w:style w:type="table" w:styleId="Tablaconcuadrcula">
    <w:name w:val="Table Grid"/>
    <w:basedOn w:val="Tablanormal"/>
    <w:uiPriority w:val="59"/>
    <w:rsid w:val="00C72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D570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uiPriority w:val="1"/>
    <w:qFormat/>
    <w:rsid w:val="00FE3B64"/>
    <w:rPr>
      <w:lang w:val="es-ES_tradnl"/>
    </w:rPr>
  </w:style>
  <w:style w:type="table" w:styleId="Sombreadoclaro-nfasis1">
    <w:name w:val="Light Shading Accent 1"/>
    <w:basedOn w:val="Tablanormal"/>
    <w:uiPriority w:val="60"/>
    <w:rsid w:val="006C632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6C63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6C632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media2">
    <w:name w:val="Medium List 2"/>
    <w:basedOn w:val="Tablanormal"/>
    <w:uiPriority w:val="66"/>
    <w:rsid w:val="006C632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rsid w:val="006C632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tulo1Car">
    <w:name w:val="Título 1 Car"/>
    <w:basedOn w:val="Fuentedeprrafopredeter"/>
    <w:link w:val="Ttulo1"/>
    <w:uiPriority w:val="9"/>
    <w:rsid w:val="00E50C09"/>
    <w:rPr>
      <w:rFonts w:asciiTheme="majorHAnsi" w:eastAsiaTheme="majorEastAsia" w:hAnsiTheme="majorHAnsi" w:cstheme="majorBidi"/>
      <w:b/>
      <w:bCs/>
      <w:color w:val="345A8A" w:themeColor="accent1" w:themeShade="B5"/>
      <w:sz w:val="32"/>
      <w:szCs w:val="32"/>
      <w:lang w:val="es-ES_tradnl"/>
    </w:rPr>
  </w:style>
  <w:style w:type="table" w:customStyle="1" w:styleId="GridTable3-Accent11">
    <w:name w:val="Grid Table 3 - Accent 11"/>
    <w:basedOn w:val="Tablanormal"/>
    <w:uiPriority w:val="48"/>
    <w:rsid w:val="00E50C0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apple-converted-space">
    <w:name w:val="apple-converted-space"/>
    <w:basedOn w:val="Fuentedeprrafopredeter"/>
    <w:rsid w:val="00E50C09"/>
  </w:style>
  <w:style w:type="character" w:styleId="Refdenotaalfinal">
    <w:name w:val="endnote reference"/>
    <w:basedOn w:val="Fuentedeprrafopredeter"/>
    <w:uiPriority w:val="99"/>
    <w:semiHidden/>
    <w:unhideWhenUsed/>
    <w:rsid w:val="00342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3786">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
          <w:marLeft w:val="446"/>
          <w:marRight w:val="0"/>
          <w:marTop w:val="0"/>
          <w:marBottom w:val="0"/>
          <w:divBdr>
            <w:top w:val="none" w:sz="0" w:space="0" w:color="auto"/>
            <w:left w:val="none" w:sz="0" w:space="0" w:color="auto"/>
            <w:bottom w:val="none" w:sz="0" w:space="0" w:color="auto"/>
            <w:right w:val="none" w:sz="0" w:space="0" w:color="auto"/>
          </w:divBdr>
        </w:div>
        <w:div w:id="281158640">
          <w:marLeft w:val="446"/>
          <w:marRight w:val="0"/>
          <w:marTop w:val="0"/>
          <w:marBottom w:val="0"/>
          <w:divBdr>
            <w:top w:val="none" w:sz="0" w:space="0" w:color="auto"/>
            <w:left w:val="none" w:sz="0" w:space="0" w:color="auto"/>
            <w:bottom w:val="none" w:sz="0" w:space="0" w:color="auto"/>
            <w:right w:val="none" w:sz="0" w:space="0" w:color="auto"/>
          </w:divBdr>
        </w:div>
      </w:divsChild>
    </w:div>
    <w:div w:id="407385667">
      <w:bodyDiv w:val="1"/>
      <w:marLeft w:val="0"/>
      <w:marRight w:val="0"/>
      <w:marTop w:val="0"/>
      <w:marBottom w:val="0"/>
      <w:divBdr>
        <w:top w:val="none" w:sz="0" w:space="0" w:color="auto"/>
        <w:left w:val="none" w:sz="0" w:space="0" w:color="auto"/>
        <w:bottom w:val="none" w:sz="0" w:space="0" w:color="auto"/>
        <w:right w:val="none" w:sz="0" w:space="0" w:color="auto"/>
      </w:divBdr>
    </w:div>
    <w:div w:id="488904411">
      <w:bodyDiv w:val="1"/>
      <w:marLeft w:val="0"/>
      <w:marRight w:val="0"/>
      <w:marTop w:val="0"/>
      <w:marBottom w:val="0"/>
      <w:divBdr>
        <w:top w:val="none" w:sz="0" w:space="0" w:color="auto"/>
        <w:left w:val="none" w:sz="0" w:space="0" w:color="auto"/>
        <w:bottom w:val="none" w:sz="0" w:space="0" w:color="auto"/>
        <w:right w:val="none" w:sz="0" w:space="0" w:color="auto"/>
      </w:divBdr>
    </w:div>
    <w:div w:id="522985696">
      <w:bodyDiv w:val="1"/>
      <w:marLeft w:val="0"/>
      <w:marRight w:val="0"/>
      <w:marTop w:val="0"/>
      <w:marBottom w:val="0"/>
      <w:divBdr>
        <w:top w:val="none" w:sz="0" w:space="0" w:color="auto"/>
        <w:left w:val="none" w:sz="0" w:space="0" w:color="auto"/>
        <w:bottom w:val="none" w:sz="0" w:space="0" w:color="auto"/>
        <w:right w:val="none" w:sz="0" w:space="0" w:color="auto"/>
      </w:divBdr>
    </w:div>
    <w:div w:id="911812622">
      <w:bodyDiv w:val="1"/>
      <w:marLeft w:val="0"/>
      <w:marRight w:val="0"/>
      <w:marTop w:val="0"/>
      <w:marBottom w:val="0"/>
      <w:divBdr>
        <w:top w:val="none" w:sz="0" w:space="0" w:color="auto"/>
        <w:left w:val="none" w:sz="0" w:space="0" w:color="auto"/>
        <w:bottom w:val="none" w:sz="0" w:space="0" w:color="auto"/>
        <w:right w:val="none" w:sz="0" w:space="0" w:color="auto"/>
      </w:divBdr>
      <w:divsChild>
        <w:div w:id="1534003106">
          <w:marLeft w:val="0"/>
          <w:marRight w:val="0"/>
          <w:marTop w:val="0"/>
          <w:marBottom w:val="0"/>
          <w:divBdr>
            <w:top w:val="none" w:sz="0" w:space="0" w:color="auto"/>
            <w:left w:val="none" w:sz="0" w:space="0" w:color="auto"/>
            <w:bottom w:val="none" w:sz="0" w:space="0" w:color="auto"/>
            <w:right w:val="none" w:sz="0" w:space="0" w:color="auto"/>
          </w:divBdr>
        </w:div>
        <w:div w:id="1740981177">
          <w:marLeft w:val="0"/>
          <w:marRight w:val="0"/>
          <w:marTop w:val="0"/>
          <w:marBottom w:val="0"/>
          <w:divBdr>
            <w:top w:val="none" w:sz="0" w:space="0" w:color="auto"/>
            <w:left w:val="none" w:sz="0" w:space="0" w:color="auto"/>
            <w:bottom w:val="none" w:sz="0" w:space="0" w:color="auto"/>
            <w:right w:val="none" w:sz="0" w:space="0" w:color="auto"/>
          </w:divBdr>
          <w:divsChild>
            <w:div w:id="537667900">
              <w:marLeft w:val="0"/>
              <w:marRight w:val="0"/>
              <w:marTop w:val="0"/>
              <w:marBottom w:val="0"/>
              <w:divBdr>
                <w:top w:val="none" w:sz="0" w:space="0" w:color="auto"/>
                <w:left w:val="none" w:sz="0" w:space="0" w:color="auto"/>
                <w:bottom w:val="none" w:sz="0" w:space="0" w:color="auto"/>
                <w:right w:val="none" w:sz="0" w:space="0" w:color="auto"/>
              </w:divBdr>
              <w:divsChild>
                <w:div w:id="139345218">
                  <w:marLeft w:val="0"/>
                  <w:marRight w:val="0"/>
                  <w:marTop w:val="0"/>
                  <w:marBottom w:val="0"/>
                  <w:divBdr>
                    <w:top w:val="none" w:sz="0" w:space="0" w:color="auto"/>
                    <w:left w:val="none" w:sz="0" w:space="0" w:color="auto"/>
                    <w:bottom w:val="none" w:sz="0" w:space="0" w:color="auto"/>
                    <w:right w:val="none" w:sz="0" w:space="0" w:color="auto"/>
                  </w:divBdr>
                  <w:divsChild>
                    <w:div w:id="365377493">
                      <w:marLeft w:val="0"/>
                      <w:marRight w:val="0"/>
                      <w:marTop w:val="0"/>
                      <w:marBottom w:val="0"/>
                      <w:divBdr>
                        <w:top w:val="none" w:sz="0" w:space="0" w:color="auto"/>
                        <w:left w:val="none" w:sz="0" w:space="0" w:color="auto"/>
                        <w:bottom w:val="none" w:sz="0" w:space="0" w:color="auto"/>
                        <w:right w:val="none" w:sz="0" w:space="0" w:color="auto"/>
                      </w:divBdr>
                      <w:divsChild>
                        <w:div w:id="1619872036">
                          <w:marLeft w:val="0"/>
                          <w:marRight w:val="0"/>
                          <w:marTop w:val="0"/>
                          <w:marBottom w:val="0"/>
                          <w:divBdr>
                            <w:top w:val="none" w:sz="0" w:space="0" w:color="auto"/>
                            <w:left w:val="none" w:sz="0" w:space="0" w:color="auto"/>
                            <w:bottom w:val="none" w:sz="0" w:space="0" w:color="auto"/>
                            <w:right w:val="none" w:sz="0" w:space="0" w:color="auto"/>
                          </w:divBdr>
                          <w:divsChild>
                            <w:div w:id="1242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395564">
      <w:bodyDiv w:val="1"/>
      <w:marLeft w:val="0"/>
      <w:marRight w:val="0"/>
      <w:marTop w:val="0"/>
      <w:marBottom w:val="0"/>
      <w:divBdr>
        <w:top w:val="none" w:sz="0" w:space="0" w:color="auto"/>
        <w:left w:val="none" w:sz="0" w:space="0" w:color="auto"/>
        <w:bottom w:val="none" w:sz="0" w:space="0" w:color="auto"/>
        <w:right w:val="none" w:sz="0" w:space="0" w:color="auto"/>
      </w:divBdr>
      <w:divsChild>
        <w:div w:id="14381162">
          <w:marLeft w:val="0"/>
          <w:marRight w:val="0"/>
          <w:marTop w:val="0"/>
          <w:marBottom w:val="0"/>
          <w:divBdr>
            <w:top w:val="none" w:sz="0" w:space="0" w:color="auto"/>
            <w:left w:val="none" w:sz="0" w:space="0" w:color="auto"/>
            <w:bottom w:val="none" w:sz="0" w:space="0" w:color="auto"/>
            <w:right w:val="none" w:sz="0" w:space="0" w:color="auto"/>
          </w:divBdr>
        </w:div>
      </w:divsChild>
    </w:div>
    <w:div w:id="1091707437">
      <w:bodyDiv w:val="1"/>
      <w:marLeft w:val="0"/>
      <w:marRight w:val="0"/>
      <w:marTop w:val="0"/>
      <w:marBottom w:val="0"/>
      <w:divBdr>
        <w:top w:val="none" w:sz="0" w:space="0" w:color="auto"/>
        <w:left w:val="none" w:sz="0" w:space="0" w:color="auto"/>
        <w:bottom w:val="none" w:sz="0" w:space="0" w:color="auto"/>
        <w:right w:val="none" w:sz="0" w:space="0" w:color="auto"/>
      </w:divBdr>
      <w:divsChild>
        <w:div w:id="1337424069">
          <w:marLeft w:val="547"/>
          <w:marRight w:val="0"/>
          <w:marTop w:val="0"/>
          <w:marBottom w:val="0"/>
          <w:divBdr>
            <w:top w:val="none" w:sz="0" w:space="0" w:color="auto"/>
            <w:left w:val="none" w:sz="0" w:space="0" w:color="auto"/>
            <w:bottom w:val="none" w:sz="0" w:space="0" w:color="auto"/>
            <w:right w:val="none" w:sz="0" w:space="0" w:color="auto"/>
          </w:divBdr>
        </w:div>
      </w:divsChild>
    </w:div>
    <w:div w:id="1100637837">
      <w:bodyDiv w:val="1"/>
      <w:marLeft w:val="0"/>
      <w:marRight w:val="0"/>
      <w:marTop w:val="0"/>
      <w:marBottom w:val="0"/>
      <w:divBdr>
        <w:top w:val="none" w:sz="0" w:space="0" w:color="auto"/>
        <w:left w:val="none" w:sz="0" w:space="0" w:color="auto"/>
        <w:bottom w:val="none" w:sz="0" w:space="0" w:color="auto"/>
        <w:right w:val="none" w:sz="0" w:space="0" w:color="auto"/>
      </w:divBdr>
      <w:divsChild>
        <w:div w:id="239759520">
          <w:marLeft w:val="1886"/>
          <w:marRight w:val="0"/>
          <w:marTop w:val="0"/>
          <w:marBottom w:val="0"/>
          <w:divBdr>
            <w:top w:val="none" w:sz="0" w:space="0" w:color="auto"/>
            <w:left w:val="none" w:sz="0" w:space="0" w:color="auto"/>
            <w:bottom w:val="none" w:sz="0" w:space="0" w:color="auto"/>
            <w:right w:val="none" w:sz="0" w:space="0" w:color="auto"/>
          </w:divBdr>
        </w:div>
        <w:div w:id="1516922068">
          <w:marLeft w:val="547"/>
          <w:marRight w:val="0"/>
          <w:marTop w:val="0"/>
          <w:marBottom w:val="0"/>
          <w:divBdr>
            <w:top w:val="none" w:sz="0" w:space="0" w:color="auto"/>
            <w:left w:val="none" w:sz="0" w:space="0" w:color="auto"/>
            <w:bottom w:val="none" w:sz="0" w:space="0" w:color="auto"/>
            <w:right w:val="none" w:sz="0" w:space="0" w:color="auto"/>
          </w:divBdr>
        </w:div>
        <w:div w:id="1772890215">
          <w:marLeft w:val="547"/>
          <w:marRight w:val="0"/>
          <w:marTop w:val="0"/>
          <w:marBottom w:val="0"/>
          <w:divBdr>
            <w:top w:val="none" w:sz="0" w:space="0" w:color="auto"/>
            <w:left w:val="none" w:sz="0" w:space="0" w:color="auto"/>
            <w:bottom w:val="none" w:sz="0" w:space="0" w:color="auto"/>
            <w:right w:val="none" w:sz="0" w:space="0" w:color="auto"/>
          </w:divBdr>
        </w:div>
        <w:div w:id="2088963129">
          <w:marLeft w:val="1886"/>
          <w:marRight w:val="0"/>
          <w:marTop w:val="0"/>
          <w:marBottom w:val="0"/>
          <w:divBdr>
            <w:top w:val="none" w:sz="0" w:space="0" w:color="auto"/>
            <w:left w:val="none" w:sz="0" w:space="0" w:color="auto"/>
            <w:bottom w:val="none" w:sz="0" w:space="0" w:color="auto"/>
            <w:right w:val="none" w:sz="0" w:space="0" w:color="auto"/>
          </w:divBdr>
        </w:div>
        <w:div w:id="2100364854">
          <w:marLeft w:val="547"/>
          <w:marRight w:val="0"/>
          <w:marTop w:val="0"/>
          <w:marBottom w:val="0"/>
          <w:divBdr>
            <w:top w:val="none" w:sz="0" w:space="0" w:color="auto"/>
            <w:left w:val="none" w:sz="0" w:space="0" w:color="auto"/>
            <w:bottom w:val="none" w:sz="0" w:space="0" w:color="auto"/>
            <w:right w:val="none" w:sz="0" w:space="0" w:color="auto"/>
          </w:divBdr>
        </w:div>
        <w:div w:id="2105370802">
          <w:marLeft w:val="547"/>
          <w:marRight w:val="0"/>
          <w:marTop w:val="0"/>
          <w:marBottom w:val="0"/>
          <w:divBdr>
            <w:top w:val="none" w:sz="0" w:space="0" w:color="auto"/>
            <w:left w:val="none" w:sz="0" w:space="0" w:color="auto"/>
            <w:bottom w:val="none" w:sz="0" w:space="0" w:color="auto"/>
            <w:right w:val="none" w:sz="0" w:space="0" w:color="auto"/>
          </w:divBdr>
        </w:div>
      </w:divsChild>
    </w:div>
    <w:div w:id="1137918731">
      <w:bodyDiv w:val="1"/>
      <w:marLeft w:val="0"/>
      <w:marRight w:val="0"/>
      <w:marTop w:val="0"/>
      <w:marBottom w:val="0"/>
      <w:divBdr>
        <w:top w:val="none" w:sz="0" w:space="0" w:color="auto"/>
        <w:left w:val="none" w:sz="0" w:space="0" w:color="auto"/>
        <w:bottom w:val="none" w:sz="0" w:space="0" w:color="auto"/>
        <w:right w:val="none" w:sz="0" w:space="0" w:color="auto"/>
      </w:divBdr>
      <w:divsChild>
        <w:div w:id="734087809">
          <w:marLeft w:val="547"/>
          <w:marRight w:val="0"/>
          <w:marTop w:val="0"/>
          <w:marBottom w:val="0"/>
          <w:divBdr>
            <w:top w:val="none" w:sz="0" w:space="0" w:color="auto"/>
            <w:left w:val="none" w:sz="0" w:space="0" w:color="auto"/>
            <w:bottom w:val="none" w:sz="0" w:space="0" w:color="auto"/>
            <w:right w:val="none" w:sz="0" w:space="0" w:color="auto"/>
          </w:divBdr>
        </w:div>
      </w:divsChild>
    </w:div>
    <w:div w:id="1451822671">
      <w:bodyDiv w:val="1"/>
      <w:marLeft w:val="0"/>
      <w:marRight w:val="0"/>
      <w:marTop w:val="0"/>
      <w:marBottom w:val="0"/>
      <w:divBdr>
        <w:top w:val="none" w:sz="0" w:space="0" w:color="auto"/>
        <w:left w:val="none" w:sz="0" w:space="0" w:color="auto"/>
        <w:bottom w:val="none" w:sz="0" w:space="0" w:color="auto"/>
        <w:right w:val="none" w:sz="0" w:space="0" w:color="auto"/>
      </w:divBdr>
      <w:divsChild>
        <w:div w:id="1426421140">
          <w:marLeft w:val="547"/>
          <w:marRight w:val="0"/>
          <w:marTop w:val="0"/>
          <w:marBottom w:val="0"/>
          <w:divBdr>
            <w:top w:val="none" w:sz="0" w:space="0" w:color="auto"/>
            <w:left w:val="none" w:sz="0" w:space="0" w:color="auto"/>
            <w:bottom w:val="none" w:sz="0" w:space="0" w:color="auto"/>
            <w:right w:val="none" w:sz="0" w:space="0" w:color="auto"/>
          </w:divBdr>
        </w:div>
      </w:divsChild>
    </w:div>
    <w:div w:id="1479762252">
      <w:bodyDiv w:val="1"/>
      <w:marLeft w:val="0"/>
      <w:marRight w:val="0"/>
      <w:marTop w:val="0"/>
      <w:marBottom w:val="0"/>
      <w:divBdr>
        <w:top w:val="none" w:sz="0" w:space="0" w:color="auto"/>
        <w:left w:val="none" w:sz="0" w:space="0" w:color="auto"/>
        <w:bottom w:val="none" w:sz="0" w:space="0" w:color="auto"/>
        <w:right w:val="none" w:sz="0" w:space="0" w:color="auto"/>
      </w:divBdr>
      <w:divsChild>
        <w:div w:id="27412228">
          <w:marLeft w:val="0"/>
          <w:marRight w:val="0"/>
          <w:marTop w:val="0"/>
          <w:marBottom w:val="0"/>
          <w:divBdr>
            <w:top w:val="none" w:sz="0" w:space="0" w:color="auto"/>
            <w:left w:val="none" w:sz="0" w:space="0" w:color="auto"/>
            <w:bottom w:val="none" w:sz="0" w:space="0" w:color="auto"/>
            <w:right w:val="none" w:sz="0" w:space="0" w:color="auto"/>
          </w:divBdr>
        </w:div>
        <w:div w:id="116597699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sChild>
                <w:div w:id="113138215">
                  <w:marLeft w:val="0"/>
                  <w:marRight w:val="0"/>
                  <w:marTop w:val="0"/>
                  <w:marBottom w:val="0"/>
                  <w:divBdr>
                    <w:top w:val="none" w:sz="0" w:space="0" w:color="auto"/>
                    <w:left w:val="none" w:sz="0" w:space="0" w:color="auto"/>
                    <w:bottom w:val="none" w:sz="0" w:space="0" w:color="auto"/>
                    <w:right w:val="none" w:sz="0" w:space="0" w:color="auto"/>
                  </w:divBdr>
                  <w:divsChild>
                    <w:div w:id="1052924157">
                      <w:marLeft w:val="0"/>
                      <w:marRight w:val="0"/>
                      <w:marTop w:val="0"/>
                      <w:marBottom w:val="0"/>
                      <w:divBdr>
                        <w:top w:val="none" w:sz="0" w:space="0" w:color="auto"/>
                        <w:left w:val="none" w:sz="0" w:space="0" w:color="auto"/>
                        <w:bottom w:val="none" w:sz="0" w:space="0" w:color="auto"/>
                        <w:right w:val="none" w:sz="0" w:space="0" w:color="auto"/>
                      </w:divBdr>
                      <w:divsChild>
                        <w:div w:id="225605842">
                          <w:marLeft w:val="0"/>
                          <w:marRight w:val="0"/>
                          <w:marTop w:val="0"/>
                          <w:marBottom w:val="0"/>
                          <w:divBdr>
                            <w:top w:val="none" w:sz="0" w:space="0" w:color="auto"/>
                            <w:left w:val="none" w:sz="0" w:space="0" w:color="auto"/>
                            <w:bottom w:val="none" w:sz="0" w:space="0" w:color="auto"/>
                            <w:right w:val="none" w:sz="0" w:space="0" w:color="auto"/>
                          </w:divBdr>
                          <w:divsChild>
                            <w:div w:id="1893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11602">
      <w:bodyDiv w:val="1"/>
      <w:marLeft w:val="0"/>
      <w:marRight w:val="0"/>
      <w:marTop w:val="0"/>
      <w:marBottom w:val="0"/>
      <w:divBdr>
        <w:top w:val="none" w:sz="0" w:space="0" w:color="auto"/>
        <w:left w:val="none" w:sz="0" w:space="0" w:color="auto"/>
        <w:bottom w:val="none" w:sz="0" w:space="0" w:color="auto"/>
        <w:right w:val="none" w:sz="0" w:space="0" w:color="auto"/>
      </w:divBdr>
      <w:divsChild>
        <w:div w:id="58870782">
          <w:marLeft w:val="0"/>
          <w:marRight w:val="0"/>
          <w:marTop w:val="0"/>
          <w:marBottom w:val="0"/>
          <w:divBdr>
            <w:top w:val="none" w:sz="0" w:space="0" w:color="auto"/>
            <w:left w:val="none" w:sz="0" w:space="0" w:color="auto"/>
            <w:bottom w:val="none" w:sz="0" w:space="0" w:color="auto"/>
            <w:right w:val="none" w:sz="0" w:space="0" w:color="auto"/>
          </w:divBdr>
        </w:div>
        <w:div w:id="497884989">
          <w:marLeft w:val="0"/>
          <w:marRight w:val="0"/>
          <w:marTop w:val="0"/>
          <w:marBottom w:val="0"/>
          <w:divBdr>
            <w:top w:val="none" w:sz="0" w:space="0" w:color="auto"/>
            <w:left w:val="none" w:sz="0" w:space="0" w:color="auto"/>
            <w:bottom w:val="none" w:sz="0" w:space="0" w:color="auto"/>
            <w:right w:val="none" w:sz="0" w:space="0" w:color="auto"/>
          </w:divBdr>
        </w:div>
        <w:div w:id="9253815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BBB2-7CF2-41EC-A556-D5C3AACE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20113</Words>
  <Characters>110627</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Andres Ruiz Garcia</dc:creator>
  <cp:lastModifiedBy>AUXILIAR</cp:lastModifiedBy>
  <cp:revision>3</cp:revision>
  <cp:lastPrinted>2018-04-13T21:22:00Z</cp:lastPrinted>
  <dcterms:created xsi:type="dcterms:W3CDTF">2018-03-17T01:38:00Z</dcterms:created>
  <dcterms:modified xsi:type="dcterms:W3CDTF">2018-04-13T21:29:00Z</dcterms:modified>
</cp:coreProperties>
</file>